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outlineLvl w:val="9"/>
        <w:rPr>
          <w:rFonts w:hint="eastAsia" w:ascii="Times New Roman" w:hAnsi="Times New Roman"/>
          <w:b w:val="0"/>
          <w:bCs w:val="0"/>
          <w:sz w:val="52"/>
        </w:rPr>
      </w:pPr>
      <w:bookmarkStart w:id="0" w:name="_Toc11817411"/>
      <w:bookmarkStart w:id="1" w:name="_Toc11460255"/>
      <w:bookmarkStart w:id="2" w:name="_Toc11459840"/>
      <w:bookmarkStart w:id="3" w:name="_Toc11460308"/>
    </w:p>
    <w:p>
      <w:pPr>
        <w:pStyle w:val="2"/>
        <w:ind w:firstLine="0" w:firstLineChars="0"/>
        <w:rPr>
          <w:rFonts w:ascii="Times New Roman" w:hAnsi="Times New Roman"/>
          <w:b w:val="0"/>
          <w:bCs w:val="0"/>
          <w:sz w:val="52"/>
        </w:rPr>
      </w:pPr>
    </w:p>
    <w:p/>
    <w:p>
      <w:pPr>
        <w:pStyle w:val="14"/>
        <w:outlineLvl w:val="9"/>
        <w:rPr>
          <w:rFonts w:ascii="Times New Roman" w:hAnsi="Times New Roman"/>
          <w:b w:val="0"/>
          <w:bCs w:val="0"/>
          <w:sz w:val="52"/>
        </w:rPr>
      </w:pPr>
      <w:bookmarkStart w:id="4" w:name="_Toc16678"/>
      <w:bookmarkStart w:id="5" w:name="_Toc23069"/>
      <w:bookmarkStart w:id="6" w:name="_Toc6531"/>
      <w:bookmarkStart w:id="7" w:name="_Toc921"/>
      <w:bookmarkStart w:id="8" w:name="_Toc19308"/>
      <w:bookmarkStart w:id="9" w:name="_Toc22928"/>
      <w:bookmarkStart w:id="10" w:name="_Toc31543"/>
      <w:r>
        <w:rPr>
          <w:rFonts w:ascii="Times New Roman" w:hAnsi="Times New Roman"/>
          <w:b w:val="0"/>
          <w:bCs w:val="0"/>
          <w:sz w:val="52"/>
        </w:rPr>
        <w:t>2019年度国土空间规划财政资金</w:t>
      </w:r>
    </w:p>
    <w:p>
      <w:pPr>
        <w:pStyle w:val="14"/>
        <w:outlineLvl w:val="9"/>
        <w:rPr>
          <w:rFonts w:ascii="Times New Roman" w:hAnsi="Times New Roman"/>
          <w:b w:val="0"/>
          <w:bCs w:val="0"/>
          <w:sz w:val="52"/>
        </w:rPr>
      </w:pPr>
      <w:r>
        <w:rPr>
          <w:rFonts w:ascii="Times New Roman" w:hAnsi="Times New Roman"/>
          <w:b w:val="0"/>
          <w:bCs w:val="0"/>
          <w:sz w:val="52"/>
        </w:rPr>
        <w:t>绩效自评报告</w:t>
      </w:r>
      <w:bookmarkEnd w:id="0"/>
      <w:bookmarkEnd w:id="1"/>
      <w:bookmarkEnd w:id="2"/>
      <w:bookmarkEnd w:id="3"/>
      <w:bookmarkEnd w:id="4"/>
      <w:bookmarkEnd w:id="5"/>
      <w:bookmarkEnd w:id="6"/>
      <w:bookmarkEnd w:id="7"/>
      <w:bookmarkEnd w:id="8"/>
      <w:bookmarkEnd w:id="9"/>
      <w:bookmarkEnd w:id="10"/>
    </w:p>
    <w:p>
      <w:pPr>
        <w:ind w:firstLine="480"/>
      </w:pPr>
    </w:p>
    <w:p>
      <w:pPr>
        <w:ind w:firstLine="480"/>
      </w:pPr>
    </w:p>
    <w:p>
      <w:pPr>
        <w:ind w:firstLine="480"/>
      </w:pPr>
    </w:p>
    <w:p>
      <w:pPr>
        <w:ind w:firstLine="480"/>
      </w:pPr>
    </w:p>
    <w:p>
      <w:pPr>
        <w:ind w:firstLine="480"/>
      </w:pPr>
    </w:p>
    <w:p>
      <w:pPr>
        <w:jc w:val="center"/>
        <w:rPr>
          <w:rFonts w:eastAsia="方正小标宋简体"/>
          <w:b/>
          <w:bCs/>
          <w:sz w:val="44"/>
          <w:lang w:val="zh-CN"/>
        </w:rPr>
      </w:pPr>
    </w:p>
    <w:p>
      <w:pPr>
        <w:pStyle w:val="2"/>
        <w:ind w:firstLine="0" w:firstLineChars="0"/>
        <w:rPr>
          <w:rFonts w:ascii="Times New Roman" w:hAnsi="Times New Roman"/>
          <w:lang w:val="zh-CN"/>
        </w:rPr>
      </w:pPr>
    </w:p>
    <w:p>
      <w:pPr>
        <w:rPr>
          <w:rFonts w:eastAsia="仿宋_GB2312"/>
          <w:sz w:val="32"/>
          <w:szCs w:val="22"/>
          <w:lang w:val="zh-CN"/>
        </w:rPr>
      </w:pPr>
    </w:p>
    <w:p>
      <w:pPr>
        <w:widowControl/>
        <w:jc w:val="left"/>
        <w:rPr>
          <w:lang w:val="zh-CN"/>
        </w:rPr>
      </w:pPr>
    </w:p>
    <w:p>
      <w:pPr>
        <w:widowControl/>
        <w:jc w:val="left"/>
        <w:rPr>
          <w:lang w:val="zh-CN"/>
        </w:rPr>
      </w:pPr>
    </w:p>
    <w:p>
      <w:pPr>
        <w:ind w:firstLine="1920" w:firstLineChars="600"/>
        <w:rPr>
          <w:rFonts w:eastAsia="仿宋_GB2312"/>
          <w:sz w:val="32"/>
          <w:szCs w:val="22"/>
          <w:lang w:val="zh-CN"/>
        </w:rPr>
      </w:pPr>
    </w:p>
    <w:p>
      <w:pPr>
        <w:rPr>
          <w:rFonts w:eastAsia="仿宋_GB2312"/>
          <w:sz w:val="32"/>
          <w:szCs w:val="22"/>
          <w:lang w:val="zh-CN"/>
        </w:rPr>
      </w:pPr>
    </w:p>
    <w:p>
      <w:pPr>
        <w:rPr>
          <w:rFonts w:eastAsia="仿宋_GB2312"/>
          <w:sz w:val="32"/>
          <w:szCs w:val="22"/>
        </w:rPr>
      </w:pPr>
      <w:r>
        <w:rPr>
          <w:rFonts w:eastAsia="仿宋_GB2312"/>
          <w:sz w:val="32"/>
          <w:szCs w:val="22"/>
        </w:rPr>
        <w:t>专项资金“财政事权”名称：国土空间规划</w:t>
      </w:r>
    </w:p>
    <w:p>
      <w:pPr>
        <w:rPr>
          <w:rFonts w:eastAsia="仿宋_GB2312"/>
          <w:sz w:val="32"/>
          <w:szCs w:val="22"/>
        </w:rPr>
      </w:pPr>
      <w:r>
        <w:rPr>
          <w:rFonts w:eastAsia="仿宋_GB2312"/>
          <w:sz w:val="32"/>
          <w:szCs w:val="22"/>
        </w:rPr>
        <w:t>对应“政策任务”数量：1</w:t>
      </w:r>
    </w:p>
    <w:p>
      <w:pPr>
        <w:rPr>
          <w:rFonts w:eastAsia="仿宋_GB2312"/>
          <w:b/>
          <w:bCs/>
          <w:sz w:val="44"/>
        </w:rPr>
      </w:pPr>
      <w:r>
        <w:rPr>
          <w:rFonts w:eastAsia="仿宋_GB2312"/>
          <w:sz w:val="32"/>
          <w:szCs w:val="22"/>
        </w:rPr>
        <w:t>省级预算部门</w:t>
      </w:r>
      <w:r>
        <w:rPr>
          <w:rFonts w:eastAsia="仿宋_GB2312"/>
          <w:sz w:val="32"/>
          <w:szCs w:val="22"/>
          <w:lang w:val="zh-CN"/>
        </w:rPr>
        <w:t>：广东省</w:t>
      </w:r>
      <w:r>
        <w:rPr>
          <w:rFonts w:eastAsia="仿宋_GB2312"/>
          <w:sz w:val="32"/>
          <w:szCs w:val="22"/>
        </w:rPr>
        <w:t>自然资源厅</w:t>
      </w:r>
    </w:p>
    <w:p>
      <w:pPr>
        <w:rPr>
          <w:rFonts w:hint="eastAsia" w:eastAsia="仿宋_GB2312"/>
          <w:sz w:val="32"/>
          <w:szCs w:val="22"/>
          <w:lang w:eastAsia="zh-CN"/>
        </w:rPr>
      </w:pPr>
      <w:r>
        <w:rPr>
          <w:rFonts w:eastAsia="仿宋_GB2312"/>
          <w:sz w:val="32"/>
          <w:szCs w:val="22"/>
        </w:rPr>
        <w:t>填报人姓名：</w:t>
      </w:r>
      <w:r>
        <w:rPr>
          <w:rFonts w:hint="eastAsia" w:eastAsia="仿宋_GB2312"/>
          <w:sz w:val="32"/>
          <w:szCs w:val="22"/>
          <w:lang w:eastAsia="zh-CN"/>
        </w:rPr>
        <w:t>张帆</w:t>
      </w:r>
    </w:p>
    <w:p>
      <w:pPr>
        <w:rPr>
          <w:rFonts w:hint="default" w:eastAsia="仿宋_GB2312"/>
          <w:sz w:val="32"/>
          <w:szCs w:val="22"/>
          <w:lang w:val="en-US" w:eastAsia="zh-CN"/>
        </w:rPr>
      </w:pPr>
      <w:r>
        <w:rPr>
          <w:rFonts w:eastAsia="仿宋_GB2312"/>
          <w:sz w:val="32"/>
          <w:szCs w:val="22"/>
        </w:rPr>
        <w:t>联系电话：</w:t>
      </w:r>
      <w:r>
        <w:rPr>
          <w:rFonts w:hint="eastAsia" w:eastAsia="仿宋_GB2312"/>
          <w:sz w:val="32"/>
          <w:szCs w:val="22"/>
          <w:lang w:val="en-US" w:eastAsia="zh-CN"/>
        </w:rPr>
        <w:t>38817432</w:t>
      </w:r>
      <w:bookmarkStart w:id="47" w:name="_GoBack"/>
      <w:bookmarkEnd w:id="47"/>
    </w:p>
    <w:p>
      <w:pPr>
        <w:rPr>
          <w:rFonts w:eastAsia="仿宋_GB2312"/>
          <w:sz w:val="32"/>
          <w:szCs w:val="22"/>
        </w:rPr>
        <w:sectPr>
          <w:headerReference r:id="rId5" w:type="first"/>
          <w:footerReference r:id="rId8" w:type="first"/>
          <w:headerReference r:id="rId3" w:type="default"/>
          <w:footerReference r:id="rId6" w:type="default"/>
          <w:headerReference r:id="rId4" w:type="even"/>
          <w:footerReference r:id="rId7" w:type="even"/>
          <w:pgSz w:w="11906" w:h="16838"/>
          <w:pgMar w:top="2041" w:right="1418" w:bottom="1418" w:left="1531" w:header="851" w:footer="992" w:gutter="0"/>
          <w:pgBorders>
            <w:top w:val="none" w:sz="0" w:space="0"/>
            <w:left w:val="none" w:sz="0" w:space="0"/>
            <w:bottom w:val="none" w:sz="0" w:space="0"/>
            <w:right w:val="none" w:sz="0" w:space="0"/>
          </w:pgBorders>
          <w:cols w:space="720" w:num="1"/>
          <w:titlePg/>
          <w:docGrid w:type="lines" w:linePitch="326" w:charSpace="0"/>
        </w:sectPr>
      </w:pPr>
      <w:r>
        <w:rPr>
          <w:rFonts w:eastAsia="仿宋_GB2312"/>
        </w:rPr>
        <mc:AlternateContent>
          <mc:Choice Requires="wps">
            <w:drawing>
              <wp:anchor distT="45720" distB="45720" distL="114300" distR="114300" simplePos="0" relativeHeight="251658240" behindDoc="0" locked="0" layoutInCell="1" allowOverlap="1">
                <wp:simplePos x="0" y="0"/>
                <wp:positionH relativeFrom="column">
                  <wp:posOffset>4748530</wp:posOffset>
                </wp:positionH>
                <wp:positionV relativeFrom="paragraph">
                  <wp:posOffset>240665</wp:posOffset>
                </wp:positionV>
                <wp:extent cx="1303020" cy="901065"/>
                <wp:effectExtent l="4445" t="4445" r="13335" b="8890"/>
                <wp:wrapSquare wrapText="bothSides"/>
                <wp:docPr id="1" name="文本框 1"/>
                <wp:cNvGraphicFramePr/>
                <a:graphic xmlns:a="http://schemas.openxmlformats.org/drawingml/2006/main">
                  <a:graphicData uri="http://schemas.microsoft.com/office/word/2010/wordprocessingShape">
                    <wps:wsp>
                      <wps:cNvSpPr txBox="1"/>
                      <wps:spPr>
                        <a:xfrm>
                          <a:off x="0" y="0"/>
                          <a:ext cx="1303020" cy="90106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txbxContent>
                      </wps:txbx>
                      <wps:bodyPr upright="1"/>
                    </wps:wsp>
                  </a:graphicData>
                </a:graphic>
              </wp:anchor>
            </w:drawing>
          </mc:Choice>
          <mc:Fallback>
            <w:pict>
              <v:shape id="_x0000_s1026" o:spid="_x0000_s1026" o:spt="202" type="#_x0000_t202" style="position:absolute;left:0pt;margin-left:373.9pt;margin-top:18.95pt;height:70.95pt;width:102.6pt;mso-wrap-distance-bottom:3.6pt;mso-wrap-distance-left:9pt;mso-wrap-distance-right:9pt;mso-wrap-distance-top:3.6pt;z-index:251658240;mso-width-relative:page;mso-height-relative:page;" fillcolor="#FFFFFF" filled="t" stroked="t" coordsize="21600,21600" o:gfxdata="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w5AbdkAAAAKAQAADwAAAAAAAAABACAAAAAiAAAAZHJzL2Rvd25yZXYueG1sUEsBAhQAFAAA&#10;AAgAh07iQLwMknvuAQAA9gMAAA4AAAAAAAAAAQAgAAAAKAEAAGRycy9lMm9Eb2MueG1sUEsFBgAA&#10;AAAGAAYAWQEAAIgFAAAAAA==&#10;">
                <v:fill on="t" focussize="0,0"/>
                <v:stroke color="#FFFFFF" joinstyle="miter"/>
                <v:imagedata o:title=""/>
                <o:lock v:ext="edit" aspectratio="f"/>
                <v:textbox>
                  <w:txbxContent>
                    <w:p/>
                  </w:txbxContent>
                </v:textbox>
                <w10:wrap type="square"/>
              </v:shape>
            </w:pict>
          </mc:Fallback>
        </mc:AlternateContent>
      </w:r>
      <w:r>
        <w:rPr>
          <w:rFonts w:eastAsia="仿宋_GB2312"/>
          <w:sz w:val="32"/>
          <w:szCs w:val="22"/>
        </w:rPr>
        <w:t>联系日期：2020年5月</w:t>
      </w:r>
    </w:p>
    <w:p>
      <w:pPr>
        <w:pStyle w:val="11"/>
        <w:tabs>
          <w:tab w:val="right" w:leader="dot" w:pos="8306"/>
        </w:tabs>
        <w:jc w:val="center"/>
        <w:rPr>
          <w:rFonts w:ascii="Times New Roman" w:hAnsi="Times New Roman"/>
          <w:b w:val="0"/>
          <w:bCs w:val="0"/>
          <w:caps w:val="0"/>
          <w:sz w:val="32"/>
          <w:szCs w:val="32"/>
        </w:rPr>
      </w:pPr>
      <w:r>
        <w:rPr>
          <w:rFonts w:ascii="Times New Roman" w:hAnsi="Times New Roman" w:eastAsia="方正小标宋简体"/>
          <w:caps w:val="0"/>
          <w:sz w:val="44"/>
          <w:szCs w:val="44"/>
        </w:rPr>
        <w:t>目  录</w:t>
      </w:r>
      <w:r>
        <w:rPr>
          <w:rFonts w:ascii="Times New Roman" w:hAnsi="Times New Roman"/>
          <w:b w:val="0"/>
          <w:bCs w:val="0"/>
          <w:caps w:val="0"/>
          <w:sz w:val="32"/>
          <w:szCs w:val="32"/>
        </w:rPr>
        <w:fldChar w:fldCharType="begin"/>
      </w:r>
      <w:r>
        <w:rPr>
          <w:rFonts w:ascii="Times New Roman" w:hAnsi="Times New Roman"/>
          <w:b w:val="0"/>
          <w:bCs w:val="0"/>
          <w:caps w:val="0"/>
          <w:sz w:val="32"/>
          <w:szCs w:val="32"/>
        </w:rPr>
        <w:instrText xml:space="preserve">TOC \o "1-3" \h \u </w:instrText>
      </w:r>
      <w:r>
        <w:rPr>
          <w:rFonts w:ascii="Times New Roman" w:hAnsi="Times New Roman"/>
          <w:b w:val="0"/>
          <w:bCs w:val="0"/>
          <w:caps w:val="0"/>
          <w:sz w:val="32"/>
          <w:szCs w:val="32"/>
        </w:rPr>
        <w:fldChar w:fldCharType="separate"/>
      </w:r>
    </w:p>
    <w:p>
      <w:pPr>
        <w:pStyle w:val="11"/>
        <w:tabs>
          <w:tab w:val="right" w:leader="dot" w:pos="8250"/>
        </w:tabs>
        <w:rPr>
          <w:rFonts w:ascii="Times New Roman" w:hAnsi="Times New Roman"/>
          <w:sz w:val="32"/>
          <w:szCs w:val="32"/>
        </w:rPr>
      </w:pPr>
      <w:r>
        <w:fldChar w:fldCharType="begin"/>
      </w:r>
      <w:r>
        <w:instrText xml:space="preserve"> HYPERLINK \l "_Toc14343" </w:instrText>
      </w:r>
      <w:r>
        <w:fldChar w:fldCharType="separate"/>
      </w:r>
      <w:r>
        <w:rPr>
          <w:rFonts w:ascii="Times New Roman" w:hAnsi="Times New Roman" w:eastAsia="黑体"/>
          <w:bCs w:val="0"/>
          <w:caps w:val="0"/>
          <w:sz w:val="32"/>
          <w:szCs w:val="32"/>
        </w:rPr>
        <w:t>一、基本情况</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_Toc14343 </w:instrText>
      </w:r>
      <w:r>
        <w:rPr>
          <w:rFonts w:ascii="Times New Roman" w:hAnsi="Times New Roman"/>
          <w:sz w:val="32"/>
          <w:szCs w:val="32"/>
        </w:rPr>
        <w:fldChar w:fldCharType="separate"/>
      </w:r>
      <w:r>
        <w:rPr>
          <w:rFonts w:ascii="Times New Roman" w:hAnsi="Times New Roman"/>
          <w:sz w:val="32"/>
          <w:szCs w:val="32"/>
        </w:rPr>
        <w:t>2</w:t>
      </w:r>
      <w:r>
        <w:rPr>
          <w:rFonts w:ascii="Times New Roman" w:hAnsi="Times New Roman"/>
          <w:sz w:val="32"/>
          <w:szCs w:val="32"/>
        </w:rPr>
        <w:fldChar w:fldCharType="end"/>
      </w:r>
      <w:r>
        <w:rPr>
          <w:rFonts w:ascii="Times New Roman" w:hAnsi="Times New Roman"/>
          <w:sz w:val="32"/>
          <w:szCs w:val="32"/>
        </w:rPr>
        <w:fldChar w:fldCharType="end"/>
      </w:r>
    </w:p>
    <w:p>
      <w:pPr>
        <w:pStyle w:val="12"/>
        <w:tabs>
          <w:tab w:val="right" w:leader="dot" w:pos="8250"/>
        </w:tabs>
        <w:rPr>
          <w:sz w:val="32"/>
          <w:szCs w:val="32"/>
        </w:rPr>
      </w:pPr>
      <w:r>
        <w:fldChar w:fldCharType="begin"/>
      </w:r>
      <w:r>
        <w:instrText xml:space="preserve"> HYPERLINK \l "_Toc11140" </w:instrText>
      </w:r>
      <w:r>
        <w:fldChar w:fldCharType="separate"/>
      </w:r>
      <w:r>
        <w:rPr>
          <w:rFonts w:eastAsia="楷体"/>
          <w:kern w:val="0"/>
          <w:sz w:val="32"/>
          <w:szCs w:val="32"/>
        </w:rPr>
        <w:t>（一）项目背景</w:t>
      </w:r>
      <w:r>
        <w:rPr>
          <w:sz w:val="32"/>
          <w:szCs w:val="32"/>
        </w:rPr>
        <w:tab/>
      </w:r>
      <w:r>
        <w:rPr>
          <w:sz w:val="32"/>
          <w:szCs w:val="32"/>
        </w:rPr>
        <w:fldChar w:fldCharType="begin"/>
      </w:r>
      <w:r>
        <w:rPr>
          <w:sz w:val="32"/>
          <w:szCs w:val="32"/>
        </w:rPr>
        <w:instrText xml:space="preserve"> PAGEREF _Toc11140 </w:instrText>
      </w:r>
      <w:r>
        <w:rPr>
          <w:sz w:val="32"/>
          <w:szCs w:val="32"/>
        </w:rPr>
        <w:fldChar w:fldCharType="separate"/>
      </w:r>
      <w:r>
        <w:rPr>
          <w:sz w:val="32"/>
          <w:szCs w:val="32"/>
        </w:rPr>
        <w:t>2</w:t>
      </w:r>
      <w:r>
        <w:rPr>
          <w:sz w:val="32"/>
          <w:szCs w:val="32"/>
        </w:rPr>
        <w:fldChar w:fldCharType="end"/>
      </w:r>
      <w:r>
        <w:rPr>
          <w:sz w:val="32"/>
          <w:szCs w:val="32"/>
        </w:rPr>
        <w:fldChar w:fldCharType="end"/>
      </w:r>
    </w:p>
    <w:p>
      <w:pPr>
        <w:pStyle w:val="12"/>
        <w:tabs>
          <w:tab w:val="right" w:leader="dot" w:pos="8250"/>
        </w:tabs>
        <w:rPr>
          <w:sz w:val="32"/>
          <w:szCs w:val="32"/>
        </w:rPr>
      </w:pPr>
      <w:r>
        <w:fldChar w:fldCharType="begin"/>
      </w:r>
      <w:r>
        <w:instrText xml:space="preserve"> HYPERLINK \l "_Toc21089" </w:instrText>
      </w:r>
      <w:r>
        <w:fldChar w:fldCharType="separate"/>
      </w:r>
      <w:r>
        <w:rPr>
          <w:rFonts w:eastAsia="楷体_GB2312"/>
          <w:sz w:val="32"/>
          <w:szCs w:val="32"/>
        </w:rPr>
        <w:t>（二）项目目标</w:t>
      </w:r>
      <w:r>
        <w:rPr>
          <w:sz w:val="32"/>
          <w:szCs w:val="32"/>
        </w:rPr>
        <w:tab/>
      </w:r>
      <w:r>
        <w:rPr>
          <w:sz w:val="32"/>
          <w:szCs w:val="32"/>
        </w:rPr>
        <w:fldChar w:fldCharType="begin"/>
      </w:r>
      <w:r>
        <w:rPr>
          <w:sz w:val="32"/>
          <w:szCs w:val="32"/>
        </w:rPr>
        <w:instrText xml:space="preserve"> PAGEREF _Toc21089 </w:instrText>
      </w:r>
      <w:r>
        <w:rPr>
          <w:sz w:val="32"/>
          <w:szCs w:val="32"/>
        </w:rPr>
        <w:fldChar w:fldCharType="separate"/>
      </w:r>
      <w:r>
        <w:rPr>
          <w:sz w:val="32"/>
          <w:szCs w:val="32"/>
        </w:rPr>
        <w:t>5</w:t>
      </w:r>
      <w:r>
        <w:rPr>
          <w:sz w:val="32"/>
          <w:szCs w:val="32"/>
        </w:rPr>
        <w:fldChar w:fldCharType="end"/>
      </w:r>
      <w:r>
        <w:rPr>
          <w:sz w:val="32"/>
          <w:szCs w:val="32"/>
        </w:rPr>
        <w:fldChar w:fldCharType="end"/>
      </w:r>
    </w:p>
    <w:p>
      <w:pPr>
        <w:pStyle w:val="11"/>
        <w:tabs>
          <w:tab w:val="right" w:leader="dot" w:pos="8250"/>
        </w:tabs>
        <w:rPr>
          <w:rFonts w:ascii="Times New Roman" w:hAnsi="Times New Roman"/>
          <w:sz w:val="32"/>
          <w:szCs w:val="32"/>
        </w:rPr>
      </w:pPr>
      <w:r>
        <w:fldChar w:fldCharType="begin"/>
      </w:r>
      <w:r>
        <w:instrText xml:space="preserve"> HYPERLINK \l "_Toc16704" </w:instrText>
      </w:r>
      <w:r>
        <w:fldChar w:fldCharType="separate"/>
      </w:r>
      <w:r>
        <w:rPr>
          <w:rFonts w:ascii="Times New Roman" w:hAnsi="Times New Roman" w:eastAsia="黑体"/>
          <w:bCs w:val="0"/>
          <w:caps w:val="0"/>
          <w:sz w:val="32"/>
          <w:szCs w:val="32"/>
        </w:rPr>
        <w:t>二、自评情况</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_Toc16704 </w:instrText>
      </w:r>
      <w:r>
        <w:rPr>
          <w:rFonts w:ascii="Times New Roman" w:hAnsi="Times New Roman"/>
          <w:sz w:val="32"/>
          <w:szCs w:val="32"/>
        </w:rPr>
        <w:fldChar w:fldCharType="separate"/>
      </w:r>
      <w:r>
        <w:rPr>
          <w:rFonts w:ascii="Times New Roman" w:hAnsi="Times New Roman"/>
          <w:sz w:val="32"/>
          <w:szCs w:val="32"/>
        </w:rPr>
        <w:t>5</w:t>
      </w:r>
      <w:r>
        <w:rPr>
          <w:rFonts w:ascii="Times New Roman" w:hAnsi="Times New Roman"/>
          <w:sz w:val="32"/>
          <w:szCs w:val="32"/>
        </w:rPr>
        <w:fldChar w:fldCharType="end"/>
      </w:r>
      <w:r>
        <w:rPr>
          <w:rFonts w:ascii="Times New Roman" w:hAnsi="Times New Roman"/>
          <w:sz w:val="32"/>
          <w:szCs w:val="32"/>
        </w:rPr>
        <w:fldChar w:fldCharType="end"/>
      </w:r>
    </w:p>
    <w:p>
      <w:pPr>
        <w:pStyle w:val="12"/>
        <w:tabs>
          <w:tab w:val="right" w:leader="dot" w:pos="8250"/>
        </w:tabs>
        <w:rPr>
          <w:sz w:val="32"/>
          <w:szCs w:val="32"/>
        </w:rPr>
      </w:pPr>
      <w:r>
        <w:fldChar w:fldCharType="begin"/>
      </w:r>
      <w:r>
        <w:instrText xml:space="preserve"> HYPERLINK \l "_Toc21487" </w:instrText>
      </w:r>
      <w:r>
        <w:fldChar w:fldCharType="separate"/>
      </w:r>
      <w:r>
        <w:rPr>
          <w:rFonts w:eastAsia="楷体_GB2312"/>
          <w:sz w:val="32"/>
          <w:szCs w:val="32"/>
        </w:rPr>
        <w:t>（一）自评分数</w:t>
      </w:r>
      <w:r>
        <w:rPr>
          <w:sz w:val="32"/>
          <w:szCs w:val="32"/>
        </w:rPr>
        <w:tab/>
      </w:r>
      <w:r>
        <w:rPr>
          <w:sz w:val="32"/>
          <w:szCs w:val="32"/>
        </w:rPr>
        <w:fldChar w:fldCharType="begin"/>
      </w:r>
      <w:r>
        <w:rPr>
          <w:sz w:val="32"/>
          <w:szCs w:val="32"/>
        </w:rPr>
        <w:instrText xml:space="preserve"> PAGEREF _Toc21487 </w:instrText>
      </w:r>
      <w:r>
        <w:rPr>
          <w:sz w:val="32"/>
          <w:szCs w:val="32"/>
        </w:rPr>
        <w:fldChar w:fldCharType="separate"/>
      </w:r>
      <w:r>
        <w:rPr>
          <w:sz w:val="32"/>
          <w:szCs w:val="32"/>
        </w:rPr>
        <w:t>5</w:t>
      </w:r>
      <w:r>
        <w:rPr>
          <w:sz w:val="32"/>
          <w:szCs w:val="32"/>
        </w:rPr>
        <w:fldChar w:fldCharType="end"/>
      </w:r>
      <w:r>
        <w:rPr>
          <w:sz w:val="32"/>
          <w:szCs w:val="32"/>
        </w:rPr>
        <w:fldChar w:fldCharType="end"/>
      </w:r>
    </w:p>
    <w:p>
      <w:pPr>
        <w:pStyle w:val="12"/>
        <w:tabs>
          <w:tab w:val="right" w:leader="dot" w:pos="8250"/>
        </w:tabs>
        <w:rPr>
          <w:sz w:val="32"/>
          <w:szCs w:val="32"/>
        </w:rPr>
      </w:pPr>
      <w:r>
        <w:fldChar w:fldCharType="begin"/>
      </w:r>
      <w:r>
        <w:instrText xml:space="preserve"> HYPERLINK \l "_Toc8430" </w:instrText>
      </w:r>
      <w:r>
        <w:fldChar w:fldCharType="separate"/>
      </w:r>
      <w:r>
        <w:rPr>
          <w:rFonts w:eastAsia="楷体_GB2312"/>
          <w:sz w:val="32"/>
          <w:szCs w:val="32"/>
        </w:rPr>
        <w:t>（二）专项资金使用绩效</w:t>
      </w:r>
      <w:r>
        <w:rPr>
          <w:sz w:val="32"/>
          <w:szCs w:val="32"/>
        </w:rPr>
        <w:tab/>
      </w:r>
      <w:r>
        <w:rPr>
          <w:sz w:val="32"/>
          <w:szCs w:val="32"/>
        </w:rPr>
        <w:fldChar w:fldCharType="begin"/>
      </w:r>
      <w:r>
        <w:rPr>
          <w:sz w:val="32"/>
          <w:szCs w:val="32"/>
        </w:rPr>
        <w:instrText xml:space="preserve"> PAGEREF _Toc8430 </w:instrText>
      </w:r>
      <w:r>
        <w:rPr>
          <w:sz w:val="32"/>
          <w:szCs w:val="32"/>
        </w:rPr>
        <w:fldChar w:fldCharType="separate"/>
      </w:r>
      <w:r>
        <w:rPr>
          <w:sz w:val="32"/>
          <w:szCs w:val="32"/>
        </w:rPr>
        <w:t>5</w:t>
      </w:r>
      <w:r>
        <w:rPr>
          <w:sz w:val="32"/>
          <w:szCs w:val="32"/>
        </w:rPr>
        <w:fldChar w:fldCharType="end"/>
      </w:r>
      <w:r>
        <w:rPr>
          <w:sz w:val="32"/>
          <w:szCs w:val="32"/>
        </w:rPr>
        <w:fldChar w:fldCharType="end"/>
      </w:r>
    </w:p>
    <w:p>
      <w:pPr>
        <w:pStyle w:val="12"/>
        <w:tabs>
          <w:tab w:val="right" w:leader="dot" w:pos="8250"/>
        </w:tabs>
        <w:rPr>
          <w:sz w:val="32"/>
          <w:szCs w:val="32"/>
        </w:rPr>
      </w:pPr>
      <w:r>
        <w:fldChar w:fldCharType="begin"/>
      </w:r>
      <w:r>
        <w:instrText xml:space="preserve"> HYPERLINK \l "_Toc508" </w:instrText>
      </w:r>
      <w:r>
        <w:fldChar w:fldCharType="separate"/>
      </w:r>
      <w:r>
        <w:rPr>
          <w:rFonts w:eastAsia="楷体_GB2312"/>
          <w:sz w:val="32"/>
          <w:szCs w:val="32"/>
        </w:rPr>
        <w:t>（三）专项资金使用绩效存在的问题</w:t>
      </w:r>
      <w:r>
        <w:rPr>
          <w:sz w:val="32"/>
          <w:szCs w:val="32"/>
        </w:rPr>
        <w:tab/>
      </w:r>
      <w:r>
        <w:rPr>
          <w:rFonts w:hint="eastAsia"/>
          <w:sz w:val="32"/>
          <w:szCs w:val="32"/>
        </w:rPr>
        <w:t>2</w:t>
      </w:r>
      <w:r>
        <w:rPr>
          <w:rFonts w:hint="eastAsia"/>
          <w:sz w:val="32"/>
          <w:szCs w:val="32"/>
        </w:rPr>
        <w:fldChar w:fldCharType="end"/>
      </w:r>
      <w:r>
        <w:rPr>
          <w:rFonts w:hint="eastAsia"/>
          <w:sz w:val="32"/>
          <w:szCs w:val="32"/>
        </w:rPr>
        <w:t>5</w:t>
      </w:r>
    </w:p>
    <w:p>
      <w:pPr>
        <w:pStyle w:val="11"/>
        <w:tabs>
          <w:tab w:val="right" w:leader="dot" w:pos="8250"/>
        </w:tabs>
        <w:rPr>
          <w:rFonts w:ascii="Times New Roman" w:hAnsi="Times New Roman"/>
          <w:bCs w:val="0"/>
          <w:caps w:val="0"/>
          <w:sz w:val="32"/>
          <w:szCs w:val="32"/>
        </w:rPr>
      </w:pPr>
      <w:r>
        <w:fldChar w:fldCharType="begin"/>
      </w:r>
      <w:r>
        <w:instrText xml:space="preserve"> HYPERLINK \l "_Toc16672" </w:instrText>
      </w:r>
      <w:r>
        <w:fldChar w:fldCharType="separate"/>
      </w:r>
      <w:r>
        <w:rPr>
          <w:rFonts w:ascii="Times New Roman" w:hAnsi="Times New Roman" w:eastAsia="黑体"/>
          <w:kern w:val="0"/>
          <w:sz w:val="32"/>
          <w:szCs w:val="32"/>
          <w:lang w:bidi="ar"/>
        </w:rPr>
        <w:t>三、改进意见</w:t>
      </w:r>
      <w:r>
        <w:rPr>
          <w:rFonts w:ascii="Times New Roman" w:hAnsi="Times New Roman"/>
          <w:sz w:val="32"/>
          <w:szCs w:val="32"/>
        </w:rPr>
        <w:tab/>
      </w:r>
      <w:r>
        <w:rPr>
          <w:rFonts w:hint="eastAsia" w:ascii="Times New Roman" w:hAnsi="Times New Roman"/>
          <w:sz w:val="32"/>
          <w:szCs w:val="32"/>
        </w:rPr>
        <w:t>2</w:t>
      </w:r>
      <w:r>
        <w:rPr>
          <w:rFonts w:hint="eastAsia" w:ascii="Times New Roman" w:hAnsi="Times New Roman"/>
          <w:sz w:val="32"/>
          <w:szCs w:val="32"/>
        </w:rPr>
        <w:fldChar w:fldCharType="end"/>
      </w:r>
      <w:r>
        <w:rPr>
          <w:rFonts w:hint="eastAsia" w:ascii="Times New Roman" w:hAnsi="Times New Roman"/>
          <w:bCs w:val="0"/>
          <w:caps w:val="0"/>
          <w:sz w:val="32"/>
          <w:szCs w:val="32"/>
        </w:rPr>
        <w:t>6</w:t>
      </w:r>
    </w:p>
    <w:p>
      <w:pPr>
        <w:tabs>
          <w:tab w:val="right" w:leader="dot" w:pos="8306"/>
        </w:tabs>
        <w:jc w:val="left"/>
        <w:rPr>
          <w:sz w:val="32"/>
          <w:szCs w:val="32"/>
        </w:rPr>
      </w:pPr>
      <w:r>
        <w:rPr>
          <w:sz w:val="32"/>
          <w:szCs w:val="32"/>
        </w:rPr>
        <w:fldChar w:fldCharType="end"/>
      </w:r>
      <w:r>
        <w:rPr>
          <w:rFonts w:hint="eastAsia" w:ascii="Calibri" w:hAnsi="Calibri" w:eastAsia="仿宋_GB2312"/>
          <w:kern w:val="0"/>
          <w:sz w:val="32"/>
          <w:szCs w:val="32"/>
        </w:rPr>
        <w:t>附件1</w:t>
      </w:r>
      <w:r>
        <w:rPr>
          <w:sz w:val="32"/>
          <w:szCs w:val="32"/>
        </w:rPr>
        <w:tab/>
      </w:r>
      <w:r>
        <w:rPr>
          <w:rFonts w:hint="eastAsia"/>
          <w:sz w:val="32"/>
          <w:szCs w:val="32"/>
        </w:rPr>
        <w:t>27</w:t>
      </w:r>
    </w:p>
    <w:p>
      <w:pPr>
        <w:tabs>
          <w:tab w:val="right" w:leader="dot" w:pos="8306"/>
        </w:tabs>
        <w:jc w:val="left"/>
        <w:rPr>
          <w:sz w:val="32"/>
          <w:szCs w:val="32"/>
        </w:rPr>
      </w:pPr>
      <w:r>
        <w:rPr>
          <w:rFonts w:hint="eastAsia" w:ascii="Calibri" w:hAnsi="Calibri" w:eastAsia="仿宋_GB2312"/>
          <w:kern w:val="0"/>
          <w:sz w:val="32"/>
          <w:szCs w:val="32"/>
        </w:rPr>
        <w:t>附件2</w:t>
      </w:r>
      <w:r>
        <w:rPr>
          <w:sz w:val="32"/>
          <w:szCs w:val="32"/>
        </w:rPr>
        <w:tab/>
      </w:r>
      <w:r>
        <w:rPr>
          <w:rFonts w:hint="eastAsia"/>
          <w:sz w:val="32"/>
          <w:szCs w:val="32"/>
        </w:rPr>
        <w:t xml:space="preserve">36 </w:t>
      </w:r>
    </w:p>
    <w:p>
      <w:pPr>
        <w:pStyle w:val="2"/>
        <w:ind w:firstLine="0" w:firstLineChars="0"/>
        <w:rPr>
          <w:b w:val="0"/>
          <w:bCs w:val="0"/>
        </w:rPr>
      </w:pPr>
    </w:p>
    <w:p>
      <w:pPr>
        <w:pStyle w:val="2"/>
        <w:ind w:firstLine="643"/>
        <w:rPr>
          <w:rFonts w:ascii="Times New Roman" w:hAnsi="Times New Roman"/>
        </w:rPr>
      </w:pPr>
    </w:p>
    <w:p>
      <w:pPr>
        <w:pStyle w:val="11"/>
        <w:tabs>
          <w:tab w:val="right" w:leader="dot" w:pos="8948"/>
        </w:tabs>
        <w:ind w:firstLine="394" w:firstLineChars="196"/>
        <w:rPr>
          <w:rFonts w:ascii="Times New Roman" w:hAnsi="Times New Roman"/>
          <w:caps w:val="0"/>
        </w:rPr>
      </w:pPr>
    </w:p>
    <w:p>
      <w:pPr>
        <w:pStyle w:val="11"/>
        <w:tabs>
          <w:tab w:val="right" w:leader="dot" w:pos="8948"/>
        </w:tabs>
        <w:ind w:firstLine="394" w:firstLineChars="196"/>
        <w:rPr>
          <w:rFonts w:ascii="Times New Roman" w:hAnsi="Times New Roman"/>
          <w:caps w:val="0"/>
        </w:rPr>
      </w:pPr>
    </w:p>
    <w:p/>
    <w:p>
      <w:pPr>
        <w:pStyle w:val="11"/>
        <w:tabs>
          <w:tab w:val="right" w:leader="dot" w:pos="8948"/>
        </w:tabs>
        <w:ind w:firstLine="394" w:firstLineChars="196"/>
        <w:rPr>
          <w:rFonts w:ascii="Times New Roman" w:hAnsi="Times New Roman"/>
          <w:caps w:val="0"/>
        </w:rPr>
      </w:pPr>
    </w:p>
    <w:p>
      <w:pPr>
        <w:pStyle w:val="11"/>
        <w:tabs>
          <w:tab w:val="right" w:leader="dot" w:pos="8948"/>
        </w:tabs>
        <w:rPr>
          <w:rFonts w:ascii="Times New Roman" w:hAnsi="Times New Roman"/>
          <w:caps w:val="0"/>
        </w:rPr>
      </w:pPr>
    </w:p>
    <w:p/>
    <w:p>
      <w:pPr>
        <w:pStyle w:val="2"/>
        <w:ind w:firstLine="643"/>
        <w:rPr>
          <w:rFonts w:ascii="Times New Roman" w:hAnsi="Times New Roman"/>
        </w:rPr>
      </w:pPr>
    </w:p>
    <w:p/>
    <w:p/>
    <w:p>
      <w:pPr>
        <w:pStyle w:val="11"/>
        <w:tabs>
          <w:tab w:val="right" w:leader="dot" w:pos="8948"/>
        </w:tabs>
        <w:ind w:firstLine="627" w:firstLineChars="196"/>
        <w:jc w:val="both"/>
        <w:rPr>
          <w:rFonts w:ascii="Times New Roman" w:hAnsi="Times New Roman" w:eastAsia="仿宋_GB2312"/>
          <w:b w:val="0"/>
          <w:bCs w:val="0"/>
          <w:caps w:val="0"/>
          <w:sz w:val="32"/>
          <w:szCs w:val="32"/>
        </w:rPr>
      </w:pPr>
      <w:bookmarkStart w:id="11" w:name="_Toc8998"/>
      <w:bookmarkStart w:id="12" w:name="_Toc13571"/>
      <w:bookmarkStart w:id="13" w:name="_Toc28409"/>
      <w:r>
        <w:rPr>
          <w:rFonts w:ascii="Times New Roman" w:hAnsi="Times New Roman" w:eastAsia="仿宋_GB2312"/>
          <w:b w:val="0"/>
          <w:bCs w:val="0"/>
          <w:caps w:val="0"/>
          <w:sz w:val="32"/>
          <w:szCs w:val="32"/>
        </w:rPr>
        <w:t>根据广东省财政厅关于开展2020年省级财政资金绩效自评工作的通知要求，现对2019年度广东省空间规划专项资金进行绩效自评，形成本自评报告。</w:t>
      </w:r>
      <w:bookmarkEnd w:id="11"/>
      <w:bookmarkEnd w:id="12"/>
    </w:p>
    <w:p>
      <w:pPr>
        <w:pStyle w:val="11"/>
        <w:tabs>
          <w:tab w:val="right" w:leader="dot" w:pos="8948"/>
        </w:tabs>
        <w:ind w:firstLine="630" w:firstLineChars="196"/>
        <w:jc w:val="both"/>
        <w:outlineLvl w:val="0"/>
        <w:rPr>
          <w:rFonts w:ascii="Times New Roman" w:hAnsi="Times New Roman" w:eastAsia="黑体"/>
          <w:b w:val="0"/>
          <w:bCs w:val="0"/>
          <w:caps w:val="0"/>
          <w:sz w:val="32"/>
          <w:szCs w:val="32"/>
        </w:rPr>
      </w:pPr>
      <w:bookmarkStart w:id="14" w:name="_Toc14343"/>
      <w:bookmarkStart w:id="15" w:name="_Toc9391"/>
      <w:bookmarkStart w:id="16" w:name="_Toc5803"/>
      <w:r>
        <w:rPr>
          <w:rFonts w:ascii="Times New Roman" w:hAnsi="Times New Roman"/>
          <w:caps w:val="0"/>
          <w:sz w:val="32"/>
          <w:szCs w:val="32"/>
        </w:rPr>
        <w:fldChar w:fldCharType="begin"/>
      </w:r>
      <w:r>
        <w:rPr>
          <w:rFonts w:ascii="Times New Roman" w:hAnsi="Times New Roman"/>
          <w:caps w:val="0"/>
          <w:sz w:val="32"/>
          <w:szCs w:val="32"/>
        </w:rPr>
        <w:instrText xml:space="preserve"> HYPERLINK \l "_Toc521089182" </w:instrText>
      </w:r>
      <w:r>
        <w:rPr>
          <w:rFonts w:ascii="Times New Roman" w:hAnsi="Times New Roman"/>
          <w:caps w:val="0"/>
          <w:sz w:val="32"/>
          <w:szCs w:val="32"/>
        </w:rPr>
        <w:fldChar w:fldCharType="separate"/>
      </w:r>
      <w:r>
        <w:rPr>
          <w:rFonts w:ascii="Times New Roman" w:hAnsi="Times New Roman" w:eastAsia="黑体"/>
          <w:b w:val="0"/>
          <w:bCs w:val="0"/>
          <w:caps w:val="0"/>
          <w:sz w:val="32"/>
          <w:szCs w:val="32"/>
        </w:rPr>
        <w:t>一、基本情况</w:t>
      </w:r>
      <w:r>
        <w:rPr>
          <w:rFonts w:ascii="Times New Roman" w:hAnsi="Times New Roman" w:eastAsia="黑体"/>
          <w:b w:val="0"/>
          <w:bCs w:val="0"/>
          <w:caps w:val="0"/>
          <w:sz w:val="32"/>
          <w:szCs w:val="32"/>
        </w:rPr>
        <w:fldChar w:fldCharType="end"/>
      </w:r>
      <w:bookmarkEnd w:id="13"/>
      <w:bookmarkEnd w:id="14"/>
      <w:bookmarkEnd w:id="15"/>
      <w:bookmarkEnd w:id="16"/>
    </w:p>
    <w:p>
      <w:pPr>
        <w:widowControl/>
        <w:ind w:firstLine="643" w:firstLineChars="200"/>
        <w:outlineLvl w:val="1"/>
        <w:rPr>
          <w:rFonts w:eastAsia="楷体"/>
          <w:sz w:val="32"/>
          <w:szCs w:val="32"/>
        </w:rPr>
      </w:pPr>
      <w:bookmarkStart w:id="17" w:name="_Toc15097"/>
      <w:bookmarkStart w:id="18" w:name="_Toc26210"/>
      <w:bookmarkStart w:id="19" w:name="_Toc11140"/>
      <w:bookmarkStart w:id="20" w:name="_Toc13303"/>
      <w:bookmarkStart w:id="21" w:name="_Toc10622"/>
      <w:r>
        <w:rPr>
          <w:rFonts w:eastAsia="楷体"/>
          <w:b/>
          <w:kern w:val="0"/>
          <w:sz w:val="32"/>
          <w:szCs w:val="32"/>
        </w:rPr>
        <w:t>（一）</w:t>
      </w:r>
      <w:bookmarkEnd w:id="17"/>
      <w:r>
        <w:rPr>
          <w:rFonts w:eastAsia="楷体"/>
          <w:b/>
          <w:kern w:val="0"/>
          <w:sz w:val="32"/>
          <w:szCs w:val="32"/>
        </w:rPr>
        <w:t>项目背景</w:t>
      </w:r>
      <w:bookmarkEnd w:id="18"/>
      <w:bookmarkEnd w:id="19"/>
      <w:bookmarkEnd w:id="20"/>
      <w:bookmarkEnd w:id="21"/>
    </w:p>
    <w:p>
      <w:pPr>
        <w:ind w:firstLine="640" w:firstLineChars="200"/>
        <w:rPr>
          <w:rFonts w:eastAsia="仿宋_GB2312"/>
          <w:sz w:val="32"/>
          <w:szCs w:val="32"/>
        </w:rPr>
      </w:pPr>
      <w:bookmarkStart w:id="22" w:name="_Toc18040"/>
      <w:bookmarkStart w:id="23" w:name="_Toc17305"/>
      <w:bookmarkStart w:id="24" w:name="_Toc28311"/>
      <w:r>
        <w:rPr>
          <w:rFonts w:eastAsia="仿宋_GB2312"/>
          <w:sz w:val="32"/>
          <w:szCs w:val="32"/>
        </w:rPr>
        <w:t>2018年11月，《中共中央 国务院关于统一规划体系更好发挥国家发展规划战略导向作用的意见》（中发〔2018〕44号）明确提出，空间规划要聚焦空间开发强度管控和主要控制线落地，全面摸清并分析国土空间本底条件，划定城镇、农业、生态空间以及生态保护红线、永久基本农田、城镇开发边界，并以此为载体统筹协调各类空间管控手段，整合形成“多规合一”的空间规划。《自然资源部关于做好省级国土空间规划编制的指导意见（讨论稿）》中，明确省级国土空间规划是落实国家和区域空间发展战略的重要载体，是对省域国土空间开发、保护、整治、修复的统筹部署，是各类空间资源要素配置和国土空间用途管制的基本依据，也是对下层次国土空间规划编制及国土空间开发保护利用的纲领性指引，具有战略性、基础性、约束性；并要求2019年底前全面完成省级国土空间规划编制工作，同时指出规划编制工作经费应纳入省级财政预算。2018年10月，印发了《国土空间规划监测评估预警管理系统建设方案》(征求意见稿)和《自然资源部办公厅关于开展国土空间规划监测评估预警管理系统建设的通知》（征求意见稿）。为贯彻落实党中央、国务院关于建立空间规划体系并监督实施的部署要求，自然资源部空间规划局于2018年9月、10月、11月分别在北京、银川、武汉召开了三次会议，要求省、市建立国土空间规划监测评估预警管理系统，实现从国家到乡镇5级国土空间规划的监测评估预警，并选取了广东、河北、广州、深圳等11个省市区作为试点，要求2019年实现试点地区系统和部系统的先行联通。国家相关建设要求随后会正式印发。</w:t>
      </w:r>
    </w:p>
    <w:p>
      <w:pPr>
        <w:ind w:firstLine="640" w:firstLineChars="200"/>
        <w:rPr>
          <w:rFonts w:eastAsia="仿宋_GB2312"/>
          <w:sz w:val="32"/>
          <w:szCs w:val="32"/>
        </w:rPr>
      </w:pPr>
      <w:r>
        <w:rPr>
          <w:rFonts w:eastAsia="仿宋_GB2312"/>
          <w:sz w:val="32"/>
          <w:szCs w:val="32"/>
        </w:rPr>
        <w:t>2019年5月，经中央深化改革领导小组审议后，中共中央 国务院印发了《关于建立国土空间规划体系并监督实施的若干意见》（中发〔2019〕18号），要求地方各级党委和政府要充分认识建立国土空间规划体系的重大意义，主要负责人要亲自抓，并将国土空间规划执行情况作为党政领导干部综合考核评价的重要参考。中发〔2019〕18号文明确指出，国土空间规划是国家空间发展的指南、可持续发展的空间蓝图，是各类开发保护建设活动的基本依据。建立国土空间规划体系并监督实施，将主体功能区规划、土地利用规划、城乡规划等空间规划融合为统一的国土空间规划，实现“多规合一”，强化国土空间规划对各专项规划的指导约束作用，是党中央、国务院作出的重大部署。要建立全国统一、责权清晰、科学高效的国土空间规划体系，整体谋划新时代国土空间开发保护格局，综合考虑人口分布、经济布局、国土利用、生态环境保护等因素，要科学布局生产空间、生活空间、生态空间，要体现战略性、提高科学性、强化权威性、加强协调性、注重操作性，要强化规划权威、改进规划审批、健全用途管制、监督规划实施、强化国土空间规划对各专项规划的指导约束作用，要完善法规政策体系、技术标准体系及国土空间基础信息平台。</w:t>
      </w:r>
    </w:p>
    <w:p>
      <w:pPr>
        <w:spacing w:line="580" w:lineRule="exact"/>
        <w:ind w:firstLine="640" w:firstLineChars="200"/>
        <w:rPr>
          <w:rFonts w:eastAsia="仿宋_GB2312"/>
          <w:sz w:val="32"/>
          <w:szCs w:val="32"/>
        </w:rPr>
      </w:pPr>
      <w:r>
        <w:rPr>
          <w:rFonts w:eastAsia="仿宋_GB2312"/>
          <w:sz w:val="32"/>
          <w:szCs w:val="32"/>
        </w:rPr>
        <w:t>《自然资源部办公厅关于开展国土空间规划“一张图”建设和现状评估工作的通知》要求，依托国土空间基础信息平台，全面开展国土空间规划“一张图”建设和市县国土空间开发保护现状评估工作。各地要以第三次全国国土调查成果为基础，整合规划编制所需的空间关联现状数据为信息，形成坐标一致、边界吻合、上下贯通的一张底图，用于支撑国土空间规划编制。各地应于2020年底前完成省、市、县各级平台建设，并与国家级平台对接，全面实现纵向联通，推进与其他相关部门信息平台的横向联通和数据共享。基于平台，建设从国家到市县级的国土空间规划“一张图”实施监督信息系统，开展国土空间规划动态监测评估预警和实施监管。未完成平台和系统建设的市县不得先行报批国土空间总体规划。</w:t>
      </w:r>
    </w:p>
    <w:p>
      <w:pPr>
        <w:ind w:firstLine="640" w:firstLineChars="200"/>
        <w:rPr>
          <w:rFonts w:eastAsia="仿宋"/>
          <w:sz w:val="32"/>
          <w:szCs w:val="32"/>
        </w:rPr>
      </w:pPr>
      <w:r>
        <w:rPr>
          <w:rFonts w:eastAsia="仿宋_GB2312"/>
          <w:sz w:val="32"/>
          <w:szCs w:val="32"/>
        </w:rPr>
        <w:t>2019年广东省空间规划专项资金总额为3100万元，包括全省国土空间规划编制实施管理专项资金2500万元以及《粤港澳大湾区背景下的国土空间优化和区域协同发展》研究600万元。资金分配采用竞争性分配，按照开展的项目进行分配。本次评价范围为上述3100万元资金的使用，评价截止日期为2020年3月31日。</w:t>
      </w:r>
      <w:bookmarkStart w:id="25" w:name="_Toc527305754"/>
      <w:bookmarkStart w:id="26" w:name="_Toc25670"/>
    </w:p>
    <w:p>
      <w:pPr>
        <w:ind w:firstLine="643" w:firstLineChars="200"/>
        <w:outlineLvl w:val="1"/>
        <w:rPr>
          <w:rFonts w:eastAsia="楷体_GB2312"/>
          <w:b/>
          <w:sz w:val="32"/>
        </w:rPr>
      </w:pPr>
      <w:bookmarkStart w:id="27" w:name="_Toc29005"/>
      <w:bookmarkStart w:id="28" w:name="_Toc21089"/>
      <w:r>
        <w:rPr>
          <w:rFonts w:eastAsia="楷体_GB2312"/>
          <w:b/>
          <w:sz w:val="32"/>
        </w:rPr>
        <w:t>（二）项目目标</w:t>
      </w:r>
      <w:bookmarkEnd w:id="25"/>
      <w:bookmarkEnd w:id="26"/>
      <w:bookmarkEnd w:id="27"/>
      <w:bookmarkEnd w:id="28"/>
    </w:p>
    <w:p>
      <w:pPr>
        <w:ind w:firstLine="640" w:firstLineChars="200"/>
        <w:rPr>
          <w:rFonts w:eastAsia="仿宋_GB2312"/>
          <w:sz w:val="32"/>
          <w:szCs w:val="32"/>
        </w:rPr>
      </w:pPr>
      <w:r>
        <w:rPr>
          <w:rFonts w:eastAsia="仿宋_GB2312"/>
          <w:sz w:val="32"/>
          <w:szCs w:val="32"/>
        </w:rPr>
        <w:t>一是编制完成省级国土空间规划，形成一批省级国土空间规划专题研究报告。二是开发广东省国土空间规划监测评估预警管理系统。三是成立国土空间规划技术联盟，形成一批国土空间规划编制和实施管理的技术规程、导则和论文；完成珠江三角洲国土空间规划编制。</w:t>
      </w:r>
    </w:p>
    <w:bookmarkEnd w:id="22"/>
    <w:bookmarkEnd w:id="23"/>
    <w:bookmarkEnd w:id="24"/>
    <w:p>
      <w:pPr>
        <w:pStyle w:val="11"/>
        <w:tabs>
          <w:tab w:val="right" w:leader="dot" w:pos="8948"/>
        </w:tabs>
        <w:spacing w:before="312" w:beforeLines="100" w:after="0"/>
        <w:ind w:firstLine="803" w:firstLineChars="400"/>
        <w:outlineLvl w:val="0"/>
        <w:rPr>
          <w:rFonts w:ascii="Times New Roman" w:hAnsi="Times New Roman" w:eastAsia="黑体"/>
          <w:b w:val="0"/>
          <w:bCs w:val="0"/>
          <w:caps w:val="0"/>
          <w:sz w:val="32"/>
          <w:szCs w:val="32"/>
        </w:rPr>
      </w:pPr>
      <w:bookmarkStart w:id="29" w:name="_Toc10752"/>
      <w:bookmarkStart w:id="30" w:name="_Toc1087"/>
      <w:bookmarkStart w:id="31" w:name="_Toc11226"/>
      <w:bookmarkStart w:id="32" w:name="_Toc16704"/>
      <w:r>
        <w:rPr>
          <w:rFonts w:ascii="Times New Roman" w:hAnsi="Times New Roman" w:eastAsia="黑体"/>
          <w:caps w:val="0"/>
        </w:rPr>
        <w:fldChar w:fldCharType="begin"/>
      </w:r>
      <w:r>
        <w:rPr>
          <w:rFonts w:ascii="Times New Roman" w:hAnsi="Times New Roman" w:eastAsia="黑体"/>
          <w:caps w:val="0"/>
        </w:rPr>
        <w:instrText xml:space="preserve"> HYPERLINK \l "_Toc521089185" </w:instrText>
      </w:r>
      <w:r>
        <w:rPr>
          <w:rFonts w:ascii="Times New Roman" w:hAnsi="Times New Roman" w:eastAsia="黑体"/>
          <w:caps w:val="0"/>
        </w:rPr>
        <w:fldChar w:fldCharType="separate"/>
      </w:r>
      <w:r>
        <w:rPr>
          <w:rFonts w:ascii="Times New Roman" w:hAnsi="Times New Roman" w:eastAsia="黑体"/>
          <w:b w:val="0"/>
          <w:bCs w:val="0"/>
          <w:caps w:val="0"/>
          <w:sz w:val="32"/>
          <w:szCs w:val="32"/>
        </w:rPr>
        <w:t>二、</w:t>
      </w:r>
      <w:r>
        <w:rPr>
          <w:rFonts w:ascii="Times New Roman" w:hAnsi="Times New Roman" w:eastAsia="黑体"/>
          <w:b w:val="0"/>
          <w:bCs w:val="0"/>
          <w:caps w:val="0"/>
          <w:sz w:val="32"/>
          <w:szCs w:val="32"/>
        </w:rPr>
        <w:fldChar w:fldCharType="end"/>
      </w:r>
      <w:bookmarkEnd w:id="29"/>
      <w:r>
        <w:rPr>
          <w:rFonts w:ascii="Times New Roman" w:hAnsi="Times New Roman" w:eastAsia="黑体"/>
          <w:b w:val="0"/>
          <w:bCs w:val="0"/>
          <w:caps w:val="0"/>
          <w:sz w:val="32"/>
          <w:szCs w:val="32"/>
        </w:rPr>
        <w:t>自评情况</w:t>
      </w:r>
      <w:bookmarkEnd w:id="30"/>
      <w:bookmarkEnd w:id="31"/>
      <w:bookmarkEnd w:id="32"/>
    </w:p>
    <w:p>
      <w:pPr>
        <w:ind w:firstLine="643" w:firstLineChars="200"/>
        <w:jc w:val="left"/>
        <w:outlineLvl w:val="1"/>
        <w:rPr>
          <w:rFonts w:eastAsia="楷体_GB2312"/>
          <w:b/>
          <w:sz w:val="32"/>
        </w:rPr>
      </w:pPr>
      <w:bookmarkStart w:id="33" w:name="_Toc18492"/>
      <w:bookmarkStart w:id="34" w:name="_Toc21487"/>
      <w:r>
        <w:rPr>
          <w:rFonts w:eastAsia="楷体_GB2312"/>
          <w:b/>
          <w:sz w:val="32"/>
        </w:rPr>
        <w:t>（一）自评分数</w:t>
      </w:r>
      <w:bookmarkEnd w:id="33"/>
      <w:bookmarkEnd w:id="34"/>
    </w:p>
    <w:p>
      <w:pPr>
        <w:ind w:firstLine="640" w:firstLineChars="200"/>
        <w:rPr>
          <w:rFonts w:eastAsia="仿宋_GB2312"/>
          <w:sz w:val="32"/>
          <w:szCs w:val="32"/>
        </w:rPr>
      </w:pPr>
      <w:r>
        <w:rPr>
          <w:rFonts w:eastAsia="仿宋_GB2312"/>
          <w:sz w:val="32"/>
          <w:szCs w:val="32"/>
        </w:rPr>
        <w:t>依据省财政厅要求绩效自评文件中评分指标表中的各项指标，分别对投入、过程、产出、效果等各项自评进行评分，本项目自评分数为</w:t>
      </w:r>
      <w:r>
        <w:rPr>
          <w:rFonts w:eastAsia="仿宋_GB2312"/>
          <w:b/>
          <w:bCs/>
          <w:sz w:val="32"/>
          <w:szCs w:val="32"/>
        </w:rPr>
        <w:t>92.51</w:t>
      </w:r>
      <w:r>
        <w:rPr>
          <w:rFonts w:eastAsia="仿宋_GB2312"/>
          <w:sz w:val="32"/>
          <w:szCs w:val="32"/>
        </w:rPr>
        <w:t>分。评分详见</w:t>
      </w:r>
      <w:r>
        <w:rPr>
          <w:rFonts w:hint="eastAsia" w:eastAsia="仿宋_GB2312"/>
          <w:sz w:val="32"/>
          <w:szCs w:val="32"/>
        </w:rPr>
        <w:t>附件1</w:t>
      </w:r>
      <w:r>
        <w:rPr>
          <w:rFonts w:eastAsia="仿宋_GB2312"/>
          <w:sz w:val="32"/>
          <w:szCs w:val="32"/>
        </w:rPr>
        <w:t>《项目绩效自评信息指标评分表》。</w:t>
      </w:r>
    </w:p>
    <w:p>
      <w:pPr>
        <w:ind w:firstLine="643" w:firstLineChars="200"/>
        <w:jc w:val="left"/>
        <w:outlineLvl w:val="1"/>
        <w:rPr>
          <w:rFonts w:eastAsia="楷体_GB2312"/>
          <w:b/>
          <w:sz w:val="32"/>
        </w:rPr>
      </w:pPr>
      <w:bookmarkStart w:id="35" w:name="_Toc18731"/>
      <w:bookmarkStart w:id="36" w:name="_Toc8430"/>
      <w:r>
        <w:rPr>
          <w:rFonts w:eastAsia="楷体_GB2312"/>
          <w:b/>
          <w:sz w:val="32"/>
        </w:rPr>
        <w:t>（二）专项资金使用绩效</w:t>
      </w:r>
      <w:bookmarkEnd w:id="35"/>
      <w:bookmarkEnd w:id="36"/>
    </w:p>
    <w:p>
      <w:pPr>
        <w:spacing w:line="360" w:lineRule="auto"/>
        <w:ind w:firstLine="643" w:firstLineChars="200"/>
        <w:rPr>
          <w:rFonts w:eastAsia="仿宋_GB2312"/>
          <w:sz w:val="32"/>
          <w:szCs w:val="32"/>
        </w:rPr>
      </w:pPr>
      <w:r>
        <w:rPr>
          <w:rFonts w:eastAsia="仿宋_GB2312"/>
          <w:b/>
          <w:bCs/>
          <w:sz w:val="32"/>
          <w:szCs w:val="32"/>
        </w:rPr>
        <w:t>1.专项资金支出情况。</w:t>
      </w:r>
      <w:r>
        <w:rPr>
          <w:rFonts w:eastAsia="仿宋_GB2312"/>
          <w:sz w:val="32"/>
          <w:szCs w:val="32"/>
        </w:rPr>
        <w:t xml:space="preserve"> </w:t>
      </w:r>
    </w:p>
    <w:p>
      <w:pPr>
        <w:spacing w:line="360" w:lineRule="auto"/>
        <w:ind w:firstLine="640" w:firstLineChars="200"/>
        <w:rPr>
          <w:rFonts w:eastAsia="仿宋_GB2312"/>
          <w:sz w:val="32"/>
          <w:szCs w:val="32"/>
        </w:rPr>
      </w:pPr>
      <w:r>
        <w:rPr>
          <w:rFonts w:eastAsia="仿宋_GB2312"/>
          <w:sz w:val="32"/>
          <w:szCs w:val="32"/>
        </w:rPr>
        <w:t>（1）论证决策。</w:t>
      </w:r>
    </w:p>
    <w:p>
      <w:pPr>
        <w:spacing w:line="360" w:lineRule="auto"/>
        <w:ind w:firstLine="640" w:firstLineChars="200"/>
        <w:rPr>
          <w:rFonts w:eastAsia="仿宋_GB2312"/>
          <w:sz w:val="32"/>
          <w:szCs w:val="32"/>
        </w:rPr>
      </w:pPr>
      <w:r>
        <w:rPr>
          <w:rFonts w:eastAsia="仿宋_GB2312"/>
          <w:sz w:val="32"/>
          <w:szCs w:val="32"/>
        </w:rPr>
        <w:t>党的十九届三中全会审议通过了《中共中央关于深化党和国家机构改革的决定》和《深化党和国家机构改革方案》本项目所涉及的内容，随后自然资源部三定方案出台，设立了国土空间规划局，目前正在建立国土空间规划体系，国土空间规划体系改革进入窗口期。《自然资源部关于全面开展国土空间规划工作的通知》（自然资发〔2019〕87号）要求建立“多规合一”的国土空间规划体系并监督实施。按照自上而下、上下联动、压茬推进的原则，抓紧启动编制全国、省级、市县和乡镇国土空间规划（规划期至2035年，展望至2050年），尽快形成规划成果。</w:t>
      </w:r>
    </w:p>
    <w:p>
      <w:pPr>
        <w:spacing w:line="360" w:lineRule="auto"/>
        <w:ind w:firstLine="640" w:firstLineChars="200"/>
        <w:rPr>
          <w:rFonts w:eastAsia="仿宋_GB2312"/>
          <w:sz w:val="32"/>
          <w:szCs w:val="32"/>
        </w:rPr>
      </w:pPr>
      <w:r>
        <w:rPr>
          <w:rFonts w:eastAsia="仿宋_GB2312"/>
          <w:sz w:val="32"/>
          <w:szCs w:val="32"/>
        </w:rPr>
        <w:t>《自然资源部办公厅关于开展国土空间规划“一张图”建设和现状评估工作的通知》要求，依托国土空间基础信息平台，全面开展国土空间规划“一张图”建设和市县国土空间开发保护现状评估工作。各地应于2020年底前完成省、市、县各级平台建设，并与国家级平台对接，全面实现纵向联通，推进与其他相关部门信息平台的横向联通和数据共享。基于平台，建设从国家到市县级的国土空间规划“一张图”实施监督信息系统，开展国土空间规划动态监测评估预警和实施监管。未完成平台和系统建设的市县不得先行报批国土空间总体规划。</w:t>
      </w:r>
    </w:p>
    <w:p>
      <w:pPr>
        <w:spacing w:line="360" w:lineRule="auto"/>
        <w:ind w:firstLine="640" w:firstLineChars="200"/>
        <w:rPr>
          <w:sz w:val="32"/>
          <w:szCs w:val="32"/>
        </w:rPr>
      </w:pPr>
      <w:r>
        <w:rPr>
          <w:rFonts w:eastAsia="仿宋_GB2312"/>
          <w:sz w:val="32"/>
          <w:szCs w:val="32"/>
        </w:rPr>
        <w:t>成立国土空间规划技术联盟，开展粤港澳大湾区背景的珠江三角洲国土空间规划编制是依据许瑞生副省长2018年7月份在《学习宣传贯彻〈粤港澳大湾区发展规划纲要〉一揽子工作建议》（建设0708）上的批示以及省领导2018年</w:t>
      </w:r>
      <w:r>
        <w:rPr>
          <w:rFonts w:eastAsia="仿宋_GB2312"/>
          <w:spacing w:val="-6"/>
          <w:sz w:val="32"/>
          <w:szCs w:val="32"/>
        </w:rPr>
        <w:t>10月份在《省住房和城乡建设厅关于珠江三角洲全域空间规划有关工作的报告》（建设1083）上的批示，设立开展的工作。</w:t>
      </w:r>
    </w:p>
    <w:p>
      <w:pPr>
        <w:ind w:firstLine="640" w:firstLineChars="200"/>
        <w:rPr>
          <w:rFonts w:eastAsia="仿宋_GB2312"/>
          <w:sz w:val="32"/>
          <w:szCs w:val="32"/>
        </w:rPr>
      </w:pPr>
      <w:r>
        <w:rPr>
          <w:rFonts w:eastAsia="仿宋_GB2312"/>
          <w:sz w:val="32"/>
          <w:szCs w:val="32"/>
        </w:rPr>
        <w:t>综上所述，本专项资金涉及的三项工作内容，立项依据充分</w:t>
      </w:r>
      <w:r>
        <w:rPr>
          <w:rFonts w:hint="eastAsia" w:eastAsia="仿宋_GB2312"/>
          <w:sz w:val="32"/>
          <w:szCs w:val="32"/>
        </w:rPr>
        <w:t>，该项指标分值4分，自评得分4分</w:t>
      </w:r>
      <w:r>
        <w:rPr>
          <w:rFonts w:eastAsia="仿宋_GB2312"/>
          <w:sz w:val="32"/>
          <w:szCs w:val="32"/>
        </w:rPr>
        <w:t>。</w:t>
      </w:r>
    </w:p>
    <w:p>
      <w:pPr>
        <w:ind w:firstLine="640" w:firstLineChars="200"/>
        <w:rPr>
          <w:rFonts w:eastAsia="仿宋_GB2312"/>
          <w:sz w:val="32"/>
          <w:szCs w:val="32"/>
        </w:rPr>
      </w:pPr>
      <w:r>
        <w:rPr>
          <w:rFonts w:eastAsia="仿宋_GB2312"/>
          <w:sz w:val="32"/>
          <w:szCs w:val="32"/>
        </w:rPr>
        <w:t>（2）绩效目标设置。</w:t>
      </w:r>
    </w:p>
    <w:p>
      <w:pPr>
        <w:ind w:firstLine="640" w:firstLineChars="200"/>
        <w:rPr>
          <w:rFonts w:eastAsia="仿宋_GB2312"/>
          <w:sz w:val="32"/>
          <w:szCs w:val="32"/>
        </w:rPr>
      </w:pPr>
      <w:r>
        <w:rPr>
          <w:rFonts w:eastAsia="仿宋_GB2312"/>
          <w:sz w:val="32"/>
          <w:szCs w:val="32"/>
        </w:rPr>
        <w:t>本项目按照资金使用方向分别设置了绩效目标，其中省本级空间规划编制费用的绩效目标详见表1：</w:t>
      </w:r>
    </w:p>
    <w:p>
      <w:pPr>
        <w:pStyle w:val="2"/>
        <w:ind w:firstLine="643"/>
      </w:pPr>
    </w:p>
    <w:p>
      <w:pPr>
        <w:jc w:val="center"/>
        <w:rPr>
          <w:rFonts w:eastAsia="黑体"/>
          <w:sz w:val="28"/>
          <w:szCs w:val="28"/>
        </w:rPr>
      </w:pPr>
      <w:r>
        <w:rPr>
          <w:rFonts w:eastAsia="黑体"/>
          <w:sz w:val="28"/>
          <w:szCs w:val="28"/>
        </w:rPr>
        <w:t>表1   省本级空间规划编制费用绩效目标表</w:t>
      </w:r>
    </w:p>
    <w:tbl>
      <w:tblPr>
        <w:tblStyle w:val="15"/>
        <w:tblW w:w="8552" w:type="dxa"/>
        <w:tblInd w:w="-34" w:type="dxa"/>
        <w:tblLayout w:type="fixed"/>
        <w:tblCellMar>
          <w:top w:w="0" w:type="dxa"/>
          <w:left w:w="108" w:type="dxa"/>
          <w:bottom w:w="0" w:type="dxa"/>
          <w:right w:w="108" w:type="dxa"/>
        </w:tblCellMar>
      </w:tblPr>
      <w:tblGrid>
        <w:gridCol w:w="1502"/>
        <w:gridCol w:w="1050"/>
        <w:gridCol w:w="1190"/>
        <w:gridCol w:w="3430"/>
        <w:gridCol w:w="1380"/>
      </w:tblGrid>
      <w:tr>
        <w:tblPrEx>
          <w:tblLayout w:type="fixed"/>
          <w:tblCellMar>
            <w:top w:w="0" w:type="dxa"/>
            <w:left w:w="108" w:type="dxa"/>
            <w:bottom w:w="0" w:type="dxa"/>
            <w:right w:w="108" w:type="dxa"/>
          </w:tblCellMar>
        </w:tblPrEx>
        <w:trPr>
          <w:trHeight w:val="420" w:hRule="atLeast"/>
        </w:trPr>
        <w:tc>
          <w:tcPr>
            <w:tcW w:w="1502" w:type="dxa"/>
            <w:vMerge w:val="restart"/>
            <w:tcBorders>
              <w:top w:val="single" w:color="auto" w:sz="4" w:space="0"/>
              <w:left w:val="single" w:color="auto" w:sz="4" w:space="0"/>
              <w:bottom w:val="single" w:color="000000" w:sz="4" w:space="0"/>
              <w:right w:val="single" w:color="auto" w:sz="4" w:space="0"/>
            </w:tcBorders>
            <w:vAlign w:val="center"/>
          </w:tcPr>
          <w:p>
            <w:pPr>
              <w:widowControl/>
              <w:rPr>
                <w:rFonts w:eastAsia="仿宋_GB2312"/>
                <w:color w:val="000000"/>
                <w:kern w:val="0"/>
                <w:sz w:val="24"/>
              </w:rPr>
            </w:pPr>
            <w:r>
              <w:rPr>
                <w:rFonts w:eastAsia="仿宋_GB2312"/>
                <w:color w:val="000000"/>
                <w:kern w:val="0"/>
                <w:sz w:val="24"/>
              </w:rPr>
              <w:t>总体绩效</w:t>
            </w:r>
          </w:p>
          <w:p>
            <w:pPr>
              <w:widowControl/>
              <w:rPr>
                <w:rFonts w:eastAsia="仿宋_GB2312"/>
                <w:color w:val="000000"/>
                <w:kern w:val="0"/>
                <w:sz w:val="24"/>
              </w:rPr>
            </w:pPr>
            <w:r>
              <w:rPr>
                <w:rFonts w:eastAsia="仿宋_GB2312"/>
                <w:color w:val="000000"/>
                <w:kern w:val="0"/>
                <w:sz w:val="24"/>
              </w:rPr>
              <w:t>目标（概述）</w:t>
            </w:r>
          </w:p>
        </w:tc>
        <w:tc>
          <w:tcPr>
            <w:tcW w:w="7050" w:type="dxa"/>
            <w:gridSpan w:val="4"/>
            <w:tcBorders>
              <w:top w:val="single" w:color="auto" w:sz="4" w:space="0"/>
              <w:left w:val="nil"/>
              <w:bottom w:val="single" w:color="auto" w:sz="4" w:space="0"/>
              <w:right w:val="single" w:color="auto" w:sz="4" w:space="0"/>
            </w:tcBorders>
            <w:noWrap/>
            <w:vAlign w:val="center"/>
          </w:tcPr>
          <w:p>
            <w:pPr>
              <w:widowControl/>
              <w:jc w:val="center"/>
              <w:rPr>
                <w:rFonts w:eastAsia="仿宋_GB2312"/>
                <w:color w:val="000000"/>
                <w:kern w:val="0"/>
                <w:sz w:val="24"/>
              </w:rPr>
            </w:pPr>
            <w:r>
              <w:rPr>
                <w:rFonts w:eastAsia="仿宋_GB2312"/>
                <w:color w:val="000000"/>
                <w:kern w:val="0"/>
                <w:sz w:val="24"/>
              </w:rPr>
              <w:t>当年度绩效目标</w:t>
            </w:r>
          </w:p>
        </w:tc>
      </w:tr>
      <w:tr>
        <w:tblPrEx>
          <w:tblLayout w:type="fixed"/>
          <w:tblCellMar>
            <w:top w:w="0" w:type="dxa"/>
            <w:left w:w="108" w:type="dxa"/>
            <w:bottom w:w="0" w:type="dxa"/>
            <w:right w:w="108" w:type="dxa"/>
          </w:tblCellMar>
        </w:tblPrEx>
        <w:trPr>
          <w:trHeight w:val="1120" w:hRule="atLeast"/>
        </w:trPr>
        <w:tc>
          <w:tcPr>
            <w:tcW w:w="1502"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eastAsia="仿宋_GB2312"/>
                <w:color w:val="000000"/>
                <w:kern w:val="0"/>
                <w:sz w:val="24"/>
              </w:rPr>
            </w:pPr>
          </w:p>
        </w:tc>
        <w:tc>
          <w:tcPr>
            <w:tcW w:w="7050" w:type="dxa"/>
            <w:gridSpan w:val="4"/>
            <w:tcBorders>
              <w:top w:val="single" w:color="auto" w:sz="4" w:space="0"/>
              <w:left w:val="single" w:color="auto" w:sz="4" w:space="0"/>
              <w:bottom w:val="single" w:color="auto" w:sz="4" w:space="0"/>
              <w:right w:val="single" w:color="000000" w:sz="4" w:space="0"/>
            </w:tcBorders>
            <w:vAlign w:val="center"/>
          </w:tcPr>
          <w:p>
            <w:pPr>
              <w:widowControl/>
              <w:rPr>
                <w:rFonts w:eastAsia="仿宋_GB2312"/>
                <w:color w:val="000000"/>
                <w:kern w:val="0"/>
                <w:sz w:val="24"/>
              </w:rPr>
            </w:pPr>
            <w:r>
              <w:rPr>
                <w:rFonts w:eastAsia="仿宋_GB2312"/>
                <w:color w:val="000000"/>
                <w:kern w:val="0"/>
                <w:sz w:val="24"/>
              </w:rPr>
              <w:t>为省市县各级国土空间规划的编制和实施管理提供理论、技术、政策等方面的支撑，形成一批国土空间规划编制和实施管理的技术规程、导则和论文；完成珠江三角洲国土空间规划编制。</w:t>
            </w:r>
          </w:p>
        </w:tc>
      </w:tr>
      <w:tr>
        <w:tblPrEx>
          <w:tblLayout w:type="fixed"/>
          <w:tblCellMar>
            <w:top w:w="0" w:type="dxa"/>
            <w:left w:w="108" w:type="dxa"/>
            <w:bottom w:w="0" w:type="dxa"/>
            <w:right w:w="108" w:type="dxa"/>
          </w:tblCellMar>
        </w:tblPrEx>
        <w:trPr>
          <w:trHeight w:val="619" w:hRule="atLeast"/>
        </w:trPr>
        <w:tc>
          <w:tcPr>
            <w:tcW w:w="150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绩效指标</w:t>
            </w:r>
          </w:p>
        </w:tc>
        <w:tc>
          <w:tcPr>
            <w:tcW w:w="105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一级</w:t>
            </w:r>
            <w:r>
              <w:rPr>
                <w:rFonts w:eastAsia="仿宋_GB2312"/>
                <w:kern w:val="0"/>
                <w:sz w:val="24"/>
              </w:rPr>
              <w:br w:type="textWrapping"/>
            </w:r>
            <w:r>
              <w:rPr>
                <w:rFonts w:eastAsia="仿宋_GB2312"/>
                <w:kern w:val="0"/>
                <w:sz w:val="24"/>
              </w:rPr>
              <w:t>指标</w:t>
            </w:r>
          </w:p>
        </w:tc>
        <w:tc>
          <w:tcPr>
            <w:tcW w:w="119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二级指标</w:t>
            </w:r>
          </w:p>
        </w:tc>
        <w:tc>
          <w:tcPr>
            <w:tcW w:w="343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三级指标</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三级指标目标值</w:t>
            </w:r>
          </w:p>
          <w:p>
            <w:pPr>
              <w:widowControl/>
              <w:jc w:val="center"/>
              <w:rPr>
                <w:rFonts w:eastAsia="仿宋_GB2312"/>
                <w:kern w:val="0"/>
                <w:sz w:val="24"/>
              </w:rPr>
            </w:pPr>
            <w:r>
              <w:rPr>
                <w:rFonts w:eastAsia="仿宋_GB2312"/>
                <w:kern w:val="0"/>
                <w:sz w:val="24"/>
              </w:rPr>
              <w:t>（当年度）</w:t>
            </w:r>
          </w:p>
        </w:tc>
      </w:tr>
      <w:tr>
        <w:tblPrEx>
          <w:tblLayout w:type="fixed"/>
          <w:tblCellMar>
            <w:top w:w="0" w:type="dxa"/>
            <w:left w:w="108" w:type="dxa"/>
            <w:bottom w:w="0" w:type="dxa"/>
            <w:right w:w="108" w:type="dxa"/>
          </w:tblCellMar>
        </w:tblPrEx>
        <w:trPr>
          <w:trHeight w:val="541" w:hRule="atLeast"/>
        </w:trPr>
        <w:tc>
          <w:tcPr>
            <w:tcW w:w="150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0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产出</w:t>
            </w:r>
            <w:r>
              <w:rPr>
                <w:rFonts w:eastAsia="仿宋_GB2312"/>
                <w:kern w:val="0"/>
                <w:sz w:val="24"/>
              </w:rPr>
              <w:br w:type="textWrapping"/>
            </w:r>
            <w:r>
              <w:rPr>
                <w:rFonts w:eastAsia="仿宋_GB2312"/>
                <w:kern w:val="0"/>
                <w:sz w:val="24"/>
              </w:rPr>
              <w:t>指标</w:t>
            </w:r>
          </w:p>
        </w:tc>
        <w:tc>
          <w:tcPr>
            <w:tcW w:w="119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数量指标</w:t>
            </w:r>
          </w:p>
        </w:tc>
        <w:tc>
          <w:tcPr>
            <w:tcW w:w="343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重点资助项目数量（项）</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5</w:t>
            </w:r>
          </w:p>
        </w:tc>
      </w:tr>
      <w:tr>
        <w:tblPrEx>
          <w:tblLayout w:type="fixed"/>
          <w:tblCellMar>
            <w:top w:w="0" w:type="dxa"/>
            <w:left w:w="108" w:type="dxa"/>
            <w:bottom w:w="0" w:type="dxa"/>
            <w:right w:w="108" w:type="dxa"/>
          </w:tblCellMar>
        </w:tblPrEx>
        <w:trPr>
          <w:trHeight w:val="825" w:hRule="atLeast"/>
        </w:trPr>
        <w:tc>
          <w:tcPr>
            <w:tcW w:w="150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19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343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完成珠江三角洲国土空间规划编制（项）</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1</w:t>
            </w:r>
          </w:p>
        </w:tc>
      </w:tr>
      <w:tr>
        <w:tblPrEx>
          <w:tblLayout w:type="fixed"/>
          <w:tblCellMar>
            <w:top w:w="0" w:type="dxa"/>
            <w:left w:w="108" w:type="dxa"/>
            <w:bottom w:w="0" w:type="dxa"/>
            <w:right w:w="108" w:type="dxa"/>
          </w:tblCellMar>
        </w:tblPrEx>
        <w:trPr>
          <w:trHeight w:val="1102" w:hRule="atLeast"/>
        </w:trPr>
        <w:tc>
          <w:tcPr>
            <w:tcW w:w="150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19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质量指标</w:t>
            </w:r>
          </w:p>
        </w:tc>
        <w:tc>
          <w:tcPr>
            <w:tcW w:w="343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本年度结项的重点资助项目中，达到预期研究结果或取得重大突破的项目比例</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100%</w:t>
            </w:r>
          </w:p>
        </w:tc>
      </w:tr>
      <w:tr>
        <w:tblPrEx>
          <w:tblLayout w:type="fixed"/>
          <w:tblCellMar>
            <w:top w:w="0" w:type="dxa"/>
            <w:left w:w="108" w:type="dxa"/>
            <w:bottom w:w="0" w:type="dxa"/>
            <w:right w:w="108" w:type="dxa"/>
          </w:tblCellMar>
        </w:tblPrEx>
        <w:trPr>
          <w:trHeight w:val="465" w:hRule="atLeast"/>
        </w:trPr>
        <w:tc>
          <w:tcPr>
            <w:tcW w:w="150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19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时效指标</w:t>
            </w:r>
          </w:p>
        </w:tc>
        <w:tc>
          <w:tcPr>
            <w:tcW w:w="343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项目按期结题比例</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100%</w:t>
            </w:r>
          </w:p>
        </w:tc>
      </w:tr>
      <w:tr>
        <w:tblPrEx>
          <w:tblLayout w:type="fixed"/>
          <w:tblCellMar>
            <w:top w:w="0" w:type="dxa"/>
            <w:left w:w="108" w:type="dxa"/>
            <w:bottom w:w="0" w:type="dxa"/>
            <w:right w:w="108" w:type="dxa"/>
          </w:tblCellMar>
        </w:tblPrEx>
        <w:trPr>
          <w:trHeight w:val="642" w:hRule="atLeast"/>
        </w:trPr>
        <w:tc>
          <w:tcPr>
            <w:tcW w:w="150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19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成本指标</w:t>
            </w:r>
          </w:p>
        </w:tc>
        <w:tc>
          <w:tcPr>
            <w:tcW w:w="343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成本控制</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不超过</w:t>
            </w:r>
          </w:p>
          <w:p>
            <w:pPr>
              <w:widowControl/>
              <w:jc w:val="center"/>
              <w:rPr>
                <w:rFonts w:eastAsia="仿宋_GB2312"/>
                <w:kern w:val="0"/>
                <w:sz w:val="24"/>
              </w:rPr>
            </w:pPr>
            <w:r>
              <w:rPr>
                <w:rFonts w:eastAsia="仿宋_GB2312"/>
                <w:kern w:val="0"/>
                <w:sz w:val="24"/>
              </w:rPr>
              <w:t>预算</w:t>
            </w:r>
          </w:p>
        </w:tc>
      </w:tr>
      <w:tr>
        <w:tblPrEx>
          <w:tblLayout w:type="fixed"/>
          <w:tblCellMar>
            <w:top w:w="0" w:type="dxa"/>
            <w:left w:w="108" w:type="dxa"/>
            <w:bottom w:w="0" w:type="dxa"/>
            <w:right w:w="108" w:type="dxa"/>
          </w:tblCellMar>
        </w:tblPrEx>
        <w:trPr>
          <w:trHeight w:val="780" w:hRule="atLeast"/>
        </w:trPr>
        <w:tc>
          <w:tcPr>
            <w:tcW w:w="150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0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效益</w:t>
            </w:r>
          </w:p>
          <w:p>
            <w:pPr>
              <w:widowControl/>
              <w:jc w:val="center"/>
              <w:rPr>
                <w:rFonts w:eastAsia="仿宋_GB2312"/>
                <w:kern w:val="0"/>
                <w:sz w:val="24"/>
              </w:rPr>
            </w:pPr>
            <w:r>
              <w:rPr>
                <w:rFonts w:eastAsia="仿宋_GB2312"/>
                <w:kern w:val="0"/>
                <w:sz w:val="24"/>
              </w:rPr>
              <w:t>指标</w:t>
            </w:r>
          </w:p>
        </w:tc>
        <w:tc>
          <w:tcPr>
            <w:tcW w:w="119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生态效益</w:t>
            </w:r>
            <w:r>
              <w:rPr>
                <w:rFonts w:eastAsia="仿宋_GB2312"/>
                <w:kern w:val="0"/>
                <w:sz w:val="24"/>
              </w:rPr>
              <w:br w:type="textWrapping"/>
            </w:r>
            <w:r>
              <w:rPr>
                <w:rFonts w:eastAsia="仿宋_GB2312"/>
                <w:kern w:val="0"/>
                <w:sz w:val="24"/>
              </w:rPr>
              <w:t>指标</w:t>
            </w:r>
          </w:p>
        </w:tc>
        <w:tc>
          <w:tcPr>
            <w:tcW w:w="343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不造成生态环境的负面影响</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未造成</w:t>
            </w:r>
          </w:p>
        </w:tc>
      </w:tr>
      <w:tr>
        <w:tblPrEx>
          <w:tblLayout w:type="fixed"/>
          <w:tblCellMar>
            <w:top w:w="0" w:type="dxa"/>
            <w:left w:w="108" w:type="dxa"/>
            <w:bottom w:w="0" w:type="dxa"/>
            <w:right w:w="108" w:type="dxa"/>
          </w:tblCellMar>
        </w:tblPrEx>
        <w:trPr>
          <w:trHeight w:val="1005" w:hRule="atLeast"/>
        </w:trPr>
        <w:tc>
          <w:tcPr>
            <w:tcW w:w="150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p>
        </w:tc>
        <w:tc>
          <w:tcPr>
            <w:tcW w:w="119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社会效益指标</w:t>
            </w:r>
          </w:p>
        </w:tc>
        <w:tc>
          <w:tcPr>
            <w:tcW w:w="343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研究成果转化为技术规程、导则和政策文件的数量（项）</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kern w:val="0"/>
                <w:sz w:val="24"/>
              </w:rPr>
            </w:pPr>
            <w:r>
              <w:rPr>
                <w:rFonts w:eastAsia="仿宋_GB2312"/>
                <w:kern w:val="0"/>
                <w:sz w:val="24"/>
              </w:rPr>
              <w:t>5</w:t>
            </w:r>
          </w:p>
        </w:tc>
      </w:tr>
    </w:tbl>
    <w:p>
      <w:pPr>
        <w:spacing w:line="360" w:lineRule="auto"/>
        <w:ind w:firstLine="640" w:firstLineChars="200"/>
        <w:rPr>
          <w:rFonts w:eastAsia="仿宋_GB2312"/>
          <w:sz w:val="32"/>
          <w:szCs w:val="32"/>
        </w:rPr>
      </w:pPr>
      <w:r>
        <w:rPr>
          <w:rFonts w:eastAsia="仿宋_GB2312"/>
          <w:sz w:val="32"/>
          <w:szCs w:val="32"/>
        </w:rPr>
        <w:t>全省国土空间规划编制实施管理专项经费的绩效目标设置见表2：</w:t>
      </w:r>
    </w:p>
    <w:p>
      <w:pPr>
        <w:pStyle w:val="2"/>
        <w:ind w:firstLine="643"/>
      </w:pPr>
    </w:p>
    <w:p>
      <w:pPr>
        <w:jc w:val="center"/>
        <w:rPr>
          <w:rFonts w:eastAsia="仿宋"/>
        </w:rPr>
      </w:pPr>
      <w:r>
        <w:rPr>
          <w:rFonts w:eastAsia="黑体"/>
          <w:sz w:val="28"/>
          <w:szCs w:val="28"/>
        </w:rPr>
        <w:t>表2  全省国土空间规划编制实施管理专项经费绩效目标表</w:t>
      </w:r>
    </w:p>
    <w:tbl>
      <w:tblPr>
        <w:tblStyle w:val="15"/>
        <w:tblW w:w="8247" w:type="dxa"/>
        <w:tblInd w:w="0" w:type="dxa"/>
        <w:tblLayout w:type="fixed"/>
        <w:tblCellMar>
          <w:top w:w="0" w:type="dxa"/>
          <w:left w:w="0" w:type="dxa"/>
          <w:bottom w:w="0" w:type="dxa"/>
          <w:right w:w="0" w:type="dxa"/>
        </w:tblCellMar>
      </w:tblPr>
      <w:tblGrid>
        <w:gridCol w:w="1083"/>
        <w:gridCol w:w="713"/>
        <w:gridCol w:w="1170"/>
        <w:gridCol w:w="2160"/>
        <w:gridCol w:w="1749"/>
        <w:gridCol w:w="1372"/>
      </w:tblGrid>
      <w:tr>
        <w:tblPrEx>
          <w:tblLayout w:type="fixed"/>
          <w:tblCellMar>
            <w:top w:w="0" w:type="dxa"/>
            <w:left w:w="0" w:type="dxa"/>
            <w:bottom w:w="0" w:type="dxa"/>
            <w:right w:w="0" w:type="dxa"/>
          </w:tblCellMar>
        </w:tblPrEx>
        <w:trPr>
          <w:trHeight w:val="498" w:hRule="atLeast"/>
        </w:trPr>
        <w:tc>
          <w:tcPr>
            <w:tcW w:w="1083" w:type="dxa"/>
            <w:vMerge w:val="restar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总体绩效目标</w:t>
            </w:r>
            <w:r>
              <w:rPr>
                <w:rFonts w:eastAsia="仿宋_GB2312"/>
                <w:color w:val="000000"/>
                <w:kern w:val="0"/>
                <w:sz w:val="24"/>
                <w:lang w:bidi="ar"/>
              </w:rPr>
              <w:br w:type="textWrapping"/>
            </w:r>
            <w:r>
              <w:rPr>
                <w:rFonts w:eastAsia="仿宋_GB2312"/>
                <w:color w:val="000000"/>
                <w:kern w:val="0"/>
                <w:sz w:val="24"/>
                <w:lang w:bidi="ar"/>
              </w:rPr>
              <w:t>（概述）</w:t>
            </w:r>
          </w:p>
        </w:tc>
        <w:tc>
          <w:tcPr>
            <w:tcW w:w="404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当年度绩效目标</w:t>
            </w:r>
          </w:p>
        </w:tc>
        <w:tc>
          <w:tcPr>
            <w:tcW w:w="31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实施周期绩效目标</w:t>
            </w:r>
          </w:p>
        </w:tc>
      </w:tr>
      <w:tr>
        <w:tblPrEx>
          <w:tblLayout w:type="fixed"/>
          <w:tblCellMar>
            <w:top w:w="0" w:type="dxa"/>
            <w:left w:w="0" w:type="dxa"/>
            <w:bottom w:w="0" w:type="dxa"/>
            <w:right w:w="0" w:type="dxa"/>
          </w:tblCellMar>
        </w:tblPrEx>
        <w:trPr>
          <w:trHeight w:val="480" w:hRule="atLeast"/>
        </w:trPr>
        <w:tc>
          <w:tcPr>
            <w:tcW w:w="1083" w:type="dxa"/>
            <w:vMerge w:val="continue"/>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jc w:val="center"/>
              <w:rPr>
                <w:rFonts w:eastAsia="仿宋_GB2312"/>
                <w:color w:val="000000"/>
                <w:sz w:val="24"/>
              </w:rPr>
            </w:pPr>
          </w:p>
        </w:tc>
        <w:tc>
          <w:tcPr>
            <w:tcW w:w="40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numPr>
                <w:ilvl w:val="0"/>
                <w:numId w:val="1"/>
              </w:numPr>
              <w:jc w:val="left"/>
              <w:textAlignment w:val="center"/>
              <w:rPr>
                <w:rFonts w:eastAsia="仿宋_GB2312"/>
                <w:color w:val="000000"/>
                <w:kern w:val="0"/>
                <w:sz w:val="24"/>
                <w:lang w:bidi="ar"/>
              </w:rPr>
            </w:pPr>
            <w:r>
              <w:rPr>
                <w:rFonts w:eastAsia="仿宋_GB2312"/>
                <w:color w:val="000000"/>
                <w:kern w:val="0"/>
                <w:sz w:val="24"/>
                <w:lang w:bidi="ar"/>
              </w:rPr>
              <w:t>形成一批省级国土空间规划专题研究报告。</w:t>
            </w:r>
          </w:p>
          <w:p>
            <w:pPr>
              <w:widowControl/>
              <w:textAlignment w:val="center"/>
              <w:rPr>
                <w:rFonts w:eastAsia="仿宋_GB2312"/>
                <w:color w:val="000000"/>
                <w:sz w:val="24"/>
              </w:rPr>
            </w:pPr>
            <w:r>
              <w:rPr>
                <w:rFonts w:eastAsia="仿宋_GB2312"/>
                <w:color w:val="000000"/>
                <w:kern w:val="0"/>
                <w:sz w:val="24"/>
                <w:lang w:bidi="ar"/>
              </w:rPr>
              <w:t>2.完成广东省国土空间规划编制。</w:t>
            </w:r>
          </w:p>
        </w:tc>
        <w:tc>
          <w:tcPr>
            <w:tcW w:w="31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kern w:val="0"/>
                <w:sz w:val="24"/>
                <w:lang w:bidi="ar"/>
              </w:rPr>
            </w:pPr>
            <w:r>
              <w:rPr>
                <w:rFonts w:eastAsia="仿宋_GB2312"/>
                <w:color w:val="000000"/>
                <w:kern w:val="0"/>
                <w:sz w:val="24"/>
                <w:lang w:bidi="ar"/>
              </w:rPr>
              <w:t>1.形成一批省级国土空间规划专题研究报告。</w:t>
            </w:r>
          </w:p>
          <w:p>
            <w:pPr>
              <w:widowControl/>
              <w:jc w:val="left"/>
              <w:textAlignment w:val="center"/>
              <w:rPr>
                <w:rFonts w:eastAsia="仿宋_GB2312"/>
                <w:color w:val="000000"/>
                <w:sz w:val="24"/>
              </w:rPr>
            </w:pPr>
            <w:r>
              <w:rPr>
                <w:rFonts w:eastAsia="仿宋_GB2312"/>
                <w:color w:val="000000"/>
                <w:kern w:val="0"/>
                <w:sz w:val="24"/>
                <w:lang w:bidi="ar"/>
              </w:rPr>
              <w:t>2.完成广东省国土空间规划编制。</w:t>
            </w:r>
          </w:p>
        </w:tc>
      </w:tr>
      <w:tr>
        <w:tblPrEx>
          <w:tblLayout w:type="fixed"/>
          <w:tblCellMar>
            <w:top w:w="0" w:type="dxa"/>
            <w:left w:w="0" w:type="dxa"/>
            <w:bottom w:w="0" w:type="dxa"/>
            <w:right w:w="0" w:type="dxa"/>
          </w:tblCellMar>
        </w:tblPrEx>
        <w:trPr>
          <w:trHeight w:val="420" w:hRule="atLeast"/>
        </w:trPr>
        <w:tc>
          <w:tcPr>
            <w:tcW w:w="1083" w:type="dxa"/>
            <w:vMerge w:val="continue"/>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jc w:val="center"/>
              <w:rPr>
                <w:rFonts w:eastAsia="仿宋_GB2312"/>
                <w:color w:val="000000"/>
                <w:sz w:val="24"/>
              </w:rPr>
            </w:pPr>
          </w:p>
        </w:tc>
        <w:tc>
          <w:tcPr>
            <w:tcW w:w="40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jc w:val="center"/>
              <w:rPr>
                <w:rFonts w:eastAsia="仿宋_GB2312"/>
                <w:color w:val="000000"/>
                <w:sz w:val="24"/>
              </w:rPr>
            </w:pPr>
          </w:p>
        </w:tc>
        <w:tc>
          <w:tcPr>
            <w:tcW w:w="31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jc w:val="center"/>
              <w:rPr>
                <w:rFonts w:eastAsia="仿宋_GB2312"/>
                <w:color w:val="000000"/>
                <w:sz w:val="24"/>
              </w:rPr>
            </w:pPr>
          </w:p>
        </w:tc>
      </w:tr>
      <w:tr>
        <w:tblPrEx>
          <w:tblLayout w:type="fixed"/>
          <w:tblCellMar>
            <w:top w:w="0" w:type="dxa"/>
            <w:left w:w="0" w:type="dxa"/>
            <w:bottom w:w="0" w:type="dxa"/>
            <w:right w:w="0" w:type="dxa"/>
          </w:tblCellMar>
        </w:tblPrEx>
        <w:trPr>
          <w:trHeight w:val="500" w:hRule="atLeast"/>
        </w:trPr>
        <w:tc>
          <w:tcPr>
            <w:tcW w:w="1083" w:type="dxa"/>
            <w:vMerge w:val="continue"/>
            <w:tcBorders>
              <w:top w:val="single" w:color="000000" w:sz="4" w:space="0"/>
              <w:left w:val="single" w:color="000000" w:sz="4" w:space="0"/>
              <w:bottom w:val="single" w:color="auto" w:sz="4" w:space="0"/>
              <w:right w:val="single" w:color="000000" w:sz="4" w:space="0"/>
            </w:tcBorders>
            <w:shd w:val="clear" w:color="auto" w:fill="auto"/>
            <w:tcMar>
              <w:top w:w="8" w:type="dxa"/>
              <w:left w:w="8" w:type="dxa"/>
              <w:right w:w="8" w:type="dxa"/>
            </w:tcMar>
            <w:vAlign w:val="center"/>
          </w:tcPr>
          <w:p>
            <w:pPr>
              <w:jc w:val="center"/>
              <w:rPr>
                <w:rFonts w:eastAsia="仿宋_GB2312"/>
                <w:color w:val="000000"/>
                <w:sz w:val="24"/>
              </w:rPr>
            </w:pPr>
          </w:p>
        </w:tc>
        <w:tc>
          <w:tcPr>
            <w:tcW w:w="4043" w:type="dxa"/>
            <w:gridSpan w:val="3"/>
            <w:vMerge w:val="continue"/>
            <w:tcBorders>
              <w:top w:val="single" w:color="000000" w:sz="4" w:space="0"/>
              <w:left w:val="single" w:color="000000" w:sz="4" w:space="0"/>
              <w:bottom w:val="single" w:color="auto" w:sz="4" w:space="0"/>
              <w:right w:val="single" w:color="000000" w:sz="4" w:space="0"/>
            </w:tcBorders>
            <w:shd w:val="clear" w:color="auto" w:fill="auto"/>
            <w:tcMar>
              <w:top w:w="8" w:type="dxa"/>
              <w:left w:w="8" w:type="dxa"/>
              <w:right w:w="8" w:type="dxa"/>
            </w:tcMar>
            <w:vAlign w:val="center"/>
          </w:tcPr>
          <w:p>
            <w:pPr>
              <w:jc w:val="center"/>
              <w:rPr>
                <w:rFonts w:eastAsia="仿宋_GB2312"/>
                <w:color w:val="000000"/>
                <w:sz w:val="24"/>
              </w:rPr>
            </w:pPr>
          </w:p>
        </w:tc>
        <w:tc>
          <w:tcPr>
            <w:tcW w:w="3121" w:type="dxa"/>
            <w:gridSpan w:val="2"/>
            <w:vMerge w:val="continue"/>
            <w:tcBorders>
              <w:top w:val="single" w:color="000000" w:sz="4" w:space="0"/>
              <w:left w:val="single" w:color="000000" w:sz="4" w:space="0"/>
              <w:bottom w:val="single" w:color="auto" w:sz="4" w:space="0"/>
              <w:right w:val="single" w:color="000000" w:sz="4" w:space="0"/>
            </w:tcBorders>
            <w:shd w:val="clear" w:color="auto" w:fill="auto"/>
            <w:tcMar>
              <w:top w:w="8" w:type="dxa"/>
              <w:left w:w="8" w:type="dxa"/>
              <w:right w:w="8" w:type="dxa"/>
            </w:tcMar>
            <w:vAlign w:val="center"/>
          </w:tcPr>
          <w:p>
            <w:pPr>
              <w:jc w:val="center"/>
              <w:rPr>
                <w:rFonts w:eastAsia="仿宋_GB2312"/>
                <w:color w:val="000000"/>
                <w:sz w:val="24"/>
              </w:rPr>
            </w:pPr>
          </w:p>
        </w:tc>
      </w:tr>
      <w:tr>
        <w:tblPrEx>
          <w:tblLayout w:type="fixed"/>
          <w:tblCellMar>
            <w:top w:w="0" w:type="dxa"/>
            <w:left w:w="0" w:type="dxa"/>
            <w:bottom w:w="0" w:type="dxa"/>
            <w:right w:w="0" w:type="dxa"/>
          </w:tblCellMar>
        </w:tblPrEx>
        <w:trPr>
          <w:trHeight w:val="1004" w:hRule="atLeast"/>
        </w:trPr>
        <w:tc>
          <w:tcPr>
            <w:tcW w:w="1083" w:type="dxa"/>
            <w:vMerge w:val="restart"/>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绩</w:t>
            </w:r>
            <w:r>
              <w:rPr>
                <w:rFonts w:eastAsia="仿宋_GB2312"/>
                <w:color w:val="000000"/>
                <w:kern w:val="0"/>
                <w:sz w:val="24"/>
                <w:lang w:bidi="ar"/>
              </w:rPr>
              <w:br w:type="textWrapping"/>
            </w:r>
            <w:r>
              <w:rPr>
                <w:rFonts w:eastAsia="仿宋_GB2312"/>
                <w:color w:val="000000"/>
                <w:kern w:val="0"/>
                <w:sz w:val="24"/>
                <w:lang w:bidi="ar"/>
              </w:rPr>
              <w:t>效</w:t>
            </w:r>
            <w:r>
              <w:rPr>
                <w:rFonts w:eastAsia="仿宋_GB2312"/>
                <w:color w:val="000000"/>
                <w:kern w:val="0"/>
                <w:sz w:val="24"/>
                <w:lang w:bidi="ar"/>
              </w:rPr>
              <w:br w:type="textWrapping"/>
            </w:r>
            <w:r>
              <w:rPr>
                <w:rFonts w:eastAsia="仿宋_GB2312"/>
                <w:color w:val="000000"/>
                <w:kern w:val="0"/>
                <w:sz w:val="24"/>
                <w:lang w:bidi="ar"/>
              </w:rPr>
              <w:t>指</w:t>
            </w:r>
            <w:r>
              <w:rPr>
                <w:rFonts w:eastAsia="仿宋_GB2312"/>
                <w:color w:val="000000"/>
                <w:kern w:val="0"/>
                <w:sz w:val="24"/>
                <w:lang w:bidi="ar"/>
              </w:rPr>
              <w:br w:type="textWrapping"/>
            </w:r>
            <w:r>
              <w:rPr>
                <w:rFonts w:eastAsia="仿宋_GB2312"/>
                <w:color w:val="000000"/>
                <w:kern w:val="0"/>
                <w:sz w:val="24"/>
                <w:lang w:bidi="ar"/>
              </w:rPr>
              <w:t>标</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一级指标</w:t>
            </w:r>
          </w:p>
        </w:tc>
        <w:tc>
          <w:tcPr>
            <w:tcW w:w="117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二级指标</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三级指标</w:t>
            </w:r>
          </w:p>
        </w:tc>
        <w:tc>
          <w:tcPr>
            <w:tcW w:w="1749"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三级指标目标值</w:t>
            </w:r>
            <w:r>
              <w:rPr>
                <w:rFonts w:eastAsia="仿宋_GB2312"/>
                <w:color w:val="000000"/>
                <w:kern w:val="0"/>
                <w:sz w:val="24"/>
                <w:lang w:bidi="ar"/>
              </w:rPr>
              <w:br w:type="textWrapping"/>
            </w:r>
            <w:r>
              <w:rPr>
                <w:rFonts w:eastAsia="仿宋_GB2312"/>
                <w:color w:val="000000"/>
                <w:kern w:val="0"/>
                <w:sz w:val="24"/>
                <w:lang w:bidi="ar"/>
              </w:rPr>
              <w:t>（当年度）</w:t>
            </w:r>
          </w:p>
        </w:tc>
        <w:tc>
          <w:tcPr>
            <w:tcW w:w="1372"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三级指标目标值</w:t>
            </w:r>
            <w:r>
              <w:rPr>
                <w:rFonts w:eastAsia="仿宋_GB2312"/>
                <w:color w:val="000000"/>
                <w:kern w:val="0"/>
                <w:sz w:val="24"/>
                <w:lang w:bidi="ar"/>
              </w:rPr>
              <w:br w:type="textWrapping"/>
            </w:r>
            <w:r>
              <w:rPr>
                <w:rFonts w:eastAsia="仿宋_GB2312"/>
                <w:color w:val="000000"/>
                <w:kern w:val="0"/>
                <w:sz w:val="24"/>
                <w:lang w:bidi="ar"/>
              </w:rPr>
              <w:t>（实施周期）</w:t>
            </w:r>
          </w:p>
        </w:tc>
      </w:tr>
      <w:tr>
        <w:tblPrEx>
          <w:tblLayout w:type="fixed"/>
          <w:tblCellMar>
            <w:top w:w="0" w:type="dxa"/>
            <w:left w:w="0" w:type="dxa"/>
            <w:bottom w:w="0" w:type="dxa"/>
            <w:right w:w="0" w:type="dxa"/>
          </w:tblCellMar>
        </w:tblPrEx>
        <w:trPr>
          <w:trHeight w:val="448" w:hRule="atLeast"/>
        </w:trPr>
        <w:tc>
          <w:tcPr>
            <w:tcW w:w="108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713" w:type="dxa"/>
            <w:vMerge w:val="restart"/>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产</w:t>
            </w:r>
            <w:r>
              <w:rPr>
                <w:rFonts w:eastAsia="仿宋_GB2312"/>
                <w:color w:val="000000"/>
                <w:kern w:val="0"/>
                <w:sz w:val="24"/>
                <w:lang w:bidi="ar"/>
              </w:rPr>
              <w:br w:type="textWrapping"/>
            </w:r>
            <w:r>
              <w:rPr>
                <w:rFonts w:eastAsia="仿宋_GB2312"/>
                <w:color w:val="000000"/>
                <w:kern w:val="0"/>
                <w:sz w:val="24"/>
                <w:lang w:bidi="ar"/>
              </w:rPr>
              <w:t>出</w:t>
            </w:r>
            <w:r>
              <w:rPr>
                <w:rFonts w:eastAsia="仿宋_GB2312"/>
                <w:color w:val="000000"/>
                <w:kern w:val="0"/>
                <w:sz w:val="24"/>
                <w:lang w:bidi="ar"/>
              </w:rPr>
              <w:br w:type="textWrapping"/>
            </w:r>
            <w:r>
              <w:rPr>
                <w:rFonts w:eastAsia="仿宋_GB2312"/>
                <w:color w:val="000000"/>
                <w:kern w:val="0"/>
                <w:sz w:val="24"/>
                <w:lang w:bidi="ar"/>
              </w:rPr>
              <w:t>指</w:t>
            </w:r>
            <w:r>
              <w:rPr>
                <w:rFonts w:eastAsia="仿宋_GB2312"/>
                <w:color w:val="000000"/>
                <w:kern w:val="0"/>
                <w:sz w:val="24"/>
                <w:lang w:bidi="ar"/>
              </w:rPr>
              <w:br w:type="textWrapping"/>
            </w:r>
            <w:r>
              <w:rPr>
                <w:rFonts w:eastAsia="仿宋_GB2312"/>
                <w:color w:val="000000"/>
                <w:kern w:val="0"/>
                <w:sz w:val="24"/>
                <w:lang w:bidi="ar"/>
              </w:rPr>
              <w:t>标</w:t>
            </w:r>
          </w:p>
        </w:tc>
        <w:tc>
          <w:tcPr>
            <w:tcW w:w="1170" w:type="dxa"/>
            <w:vMerge w:val="restart"/>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数量指标</w:t>
            </w:r>
          </w:p>
        </w:tc>
        <w:tc>
          <w:tcPr>
            <w:tcW w:w="216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专题研究报告数量</w:t>
            </w:r>
          </w:p>
        </w:tc>
        <w:tc>
          <w:tcPr>
            <w:tcW w:w="1749"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8</w:t>
            </w:r>
          </w:p>
        </w:tc>
        <w:tc>
          <w:tcPr>
            <w:tcW w:w="1372"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r>
              <w:rPr>
                <w:rFonts w:eastAsia="仿宋_GB2312"/>
                <w:color w:val="000000"/>
                <w:sz w:val="24"/>
              </w:rPr>
              <w:t>/</w:t>
            </w:r>
          </w:p>
        </w:tc>
      </w:tr>
      <w:tr>
        <w:tblPrEx>
          <w:tblLayout w:type="fixed"/>
          <w:tblCellMar>
            <w:top w:w="0" w:type="dxa"/>
            <w:left w:w="0" w:type="dxa"/>
            <w:bottom w:w="0" w:type="dxa"/>
            <w:right w:w="0" w:type="dxa"/>
          </w:tblCellMar>
        </w:tblPrEx>
        <w:trPr>
          <w:trHeight w:val="740" w:hRule="atLeast"/>
        </w:trPr>
        <w:tc>
          <w:tcPr>
            <w:tcW w:w="108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71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216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完成省级国土空间规划编制</w:t>
            </w:r>
          </w:p>
        </w:tc>
        <w:tc>
          <w:tcPr>
            <w:tcW w:w="1749"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1项</w:t>
            </w:r>
          </w:p>
        </w:tc>
        <w:tc>
          <w:tcPr>
            <w:tcW w:w="1372"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r>
              <w:rPr>
                <w:rFonts w:eastAsia="仿宋_GB2312"/>
                <w:color w:val="000000"/>
                <w:sz w:val="24"/>
              </w:rPr>
              <w:t>/</w:t>
            </w:r>
          </w:p>
        </w:tc>
      </w:tr>
      <w:tr>
        <w:tblPrEx>
          <w:tblLayout w:type="fixed"/>
          <w:tblCellMar>
            <w:top w:w="0" w:type="dxa"/>
            <w:left w:w="0" w:type="dxa"/>
            <w:bottom w:w="0" w:type="dxa"/>
            <w:right w:w="0" w:type="dxa"/>
          </w:tblCellMar>
        </w:tblPrEx>
        <w:trPr>
          <w:trHeight w:val="750" w:hRule="atLeast"/>
        </w:trPr>
        <w:tc>
          <w:tcPr>
            <w:tcW w:w="108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71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216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数据汇集、更新完成种类</w:t>
            </w:r>
          </w:p>
        </w:tc>
        <w:tc>
          <w:tcPr>
            <w:tcW w:w="1749"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≥3类</w:t>
            </w:r>
          </w:p>
        </w:tc>
        <w:tc>
          <w:tcPr>
            <w:tcW w:w="1372"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r>
              <w:rPr>
                <w:rFonts w:eastAsia="仿宋_GB2312"/>
                <w:color w:val="000000"/>
                <w:sz w:val="24"/>
              </w:rPr>
              <w:t>/</w:t>
            </w:r>
          </w:p>
        </w:tc>
      </w:tr>
      <w:tr>
        <w:tblPrEx>
          <w:tblLayout w:type="fixed"/>
          <w:tblCellMar>
            <w:top w:w="0" w:type="dxa"/>
            <w:left w:w="0" w:type="dxa"/>
            <w:bottom w:w="0" w:type="dxa"/>
            <w:right w:w="0" w:type="dxa"/>
          </w:tblCellMar>
        </w:tblPrEx>
        <w:trPr>
          <w:trHeight w:val="682" w:hRule="atLeast"/>
        </w:trPr>
        <w:tc>
          <w:tcPr>
            <w:tcW w:w="108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71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质量指标</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规划成果评审通过率</w:t>
            </w:r>
          </w:p>
        </w:tc>
        <w:tc>
          <w:tcPr>
            <w:tcW w:w="1749"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100%</w:t>
            </w:r>
          </w:p>
        </w:tc>
        <w:tc>
          <w:tcPr>
            <w:tcW w:w="1372"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r>
              <w:rPr>
                <w:rFonts w:eastAsia="仿宋_GB2312"/>
                <w:color w:val="000000"/>
                <w:sz w:val="24"/>
              </w:rPr>
              <w:t>/</w:t>
            </w:r>
          </w:p>
        </w:tc>
      </w:tr>
      <w:tr>
        <w:tblPrEx>
          <w:tblLayout w:type="fixed"/>
          <w:tblCellMar>
            <w:top w:w="0" w:type="dxa"/>
            <w:left w:w="0" w:type="dxa"/>
            <w:bottom w:w="0" w:type="dxa"/>
            <w:right w:w="0" w:type="dxa"/>
          </w:tblCellMar>
        </w:tblPrEx>
        <w:trPr>
          <w:trHeight w:val="458" w:hRule="atLeast"/>
        </w:trPr>
        <w:tc>
          <w:tcPr>
            <w:tcW w:w="108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71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时效指标</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项目按期完成率</w:t>
            </w:r>
          </w:p>
        </w:tc>
        <w:tc>
          <w:tcPr>
            <w:tcW w:w="1749"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100%</w:t>
            </w:r>
          </w:p>
        </w:tc>
        <w:tc>
          <w:tcPr>
            <w:tcW w:w="1372"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r>
              <w:rPr>
                <w:rFonts w:eastAsia="仿宋_GB2312"/>
                <w:color w:val="000000"/>
                <w:sz w:val="24"/>
              </w:rPr>
              <w:t>/</w:t>
            </w:r>
          </w:p>
        </w:tc>
      </w:tr>
      <w:tr>
        <w:tblPrEx>
          <w:tblLayout w:type="fixed"/>
          <w:tblCellMar>
            <w:top w:w="0" w:type="dxa"/>
            <w:left w:w="0" w:type="dxa"/>
            <w:bottom w:w="0" w:type="dxa"/>
            <w:right w:w="0" w:type="dxa"/>
          </w:tblCellMar>
        </w:tblPrEx>
        <w:trPr>
          <w:trHeight w:val="448" w:hRule="atLeast"/>
        </w:trPr>
        <w:tc>
          <w:tcPr>
            <w:tcW w:w="108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71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成本指标</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成本控制</w:t>
            </w:r>
          </w:p>
        </w:tc>
        <w:tc>
          <w:tcPr>
            <w:tcW w:w="1749"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不超过预算</w:t>
            </w:r>
          </w:p>
        </w:tc>
        <w:tc>
          <w:tcPr>
            <w:tcW w:w="1372"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r>
              <w:rPr>
                <w:rFonts w:eastAsia="仿宋_GB2312"/>
                <w:color w:val="000000"/>
                <w:sz w:val="24"/>
              </w:rPr>
              <w:t>/</w:t>
            </w:r>
          </w:p>
        </w:tc>
      </w:tr>
      <w:tr>
        <w:tblPrEx>
          <w:tblLayout w:type="fixed"/>
          <w:tblCellMar>
            <w:top w:w="0" w:type="dxa"/>
            <w:left w:w="0" w:type="dxa"/>
            <w:bottom w:w="0" w:type="dxa"/>
            <w:right w:w="0" w:type="dxa"/>
          </w:tblCellMar>
        </w:tblPrEx>
        <w:trPr>
          <w:trHeight w:val="790" w:hRule="atLeast"/>
        </w:trPr>
        <w:tc>
          <w:tcPr>
            <w:tcW w:w="108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713" w:type="dxa"/>
            <w:vMerge w:val="restart"/>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效益指标</w:t>
            </w:r>
          </w:p>
        </w:tc>
        <w:tc>
          <w:tcPr>
            <w:tcW w:w="117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社会效益</w:t>
            </w:r>
            <w:r>
              <w:rPr>
                <w:rFonts w:eastAsia="仿宋_GB2312"/>
                <w:color w:val="000000"/>
                <w:kern w:val="0"/>
                <w:sz w:val="24"/>
                <w:lang w:bidi="ar"/>
              </w:rPr>
              <w:br w:type="textWrapping"/>
            </w:r>
            <w:r>
              <w:rPr>
                <w:rFonts w:eastAsia="仿宋_GB2312"/>
                <w:color w:val="000000"/>
                <w:kern w:val="0"/>
                <w:sz w:val="24"/>
                <w:lang w:bidi="ar"/>
              </w:rPr>
              <w:t>指标</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全省地理信息公共服务能力和水平</w:t>
            </w:r>
          </w:p>
        </w:tc>
        <w:tc>
          <w:tcPr>
            <w:tcW w:w="1749"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比上年提高</w:t>
            </w:r>
          </w:p>
        </w:tc>
        <w:tc>
          <w:tcPr>
            <w:tcW w:w="1372"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r>
              <w:rPr>
                <w:rFonts w:eastAsia="仿宋_GB2312"/>
                <w:color w:val="000000"/>
                <w:sz w:val="24"/>
              </w:rPr>
              <w:t>/</w:t>
            </w:r>
          </w:p>
        </w:tc>
      </w:tr>
      <w:tr>
        <w:tblPrEx>
          <w:tblLayout w:type="fixed"/>
          <w:tblCellMar>
            <w:top w:w="0" w:type="dxa"/>
            <w:left w:w="0" w:type="dxa"/>
            <w:bottom w:w="0" w:type="dxa"/>
            <w:right w:w="0" w:type="dxa"/>
          </w:tblCellMar>
        </w:tblPrEx>
        <w:trPr>
          <w:trHeight w:val="830" w:hRule="atLeast"/>
        </w:trPr>
        <w:tc>
          <w:tcPr>
            <w:tcW w:w="108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713" w:type="dxa"/>
            <w:vMerge w:val="continue"/>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生态效益指标</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造成生态环境的负面影响程度</w:t>
            </w:r>
          </w:p>
        </w:tc>
        <w:tc>
          <w:tcPr>
            <w:tcW w:w="1749"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未造成</w:t>
            </w:r>
          </w:p>
        </w:tc>
        <w:tc>
          <w:tcPr>
            <w:tcW w:w="1372" w:type="dxa"/>
            <w:tcBorders>
              <w:top w:val="single" w:color="auto" w:sz="4" w:space="0"/>
              <w:left w:val="single" w:color="auto" w:sz="4" w:space="0"/>
              <w:bottom w:val="single" w:color="auto" w:sz="4" w:space="0"/>
              <w:right w:val="single" w:color="auto" w:sz="4" w:space="0"/>
            </w:tcBorders>
            <w:shd w:val="clear" w:color="auto" w:fill="auto"/>
            <w:tcMar>
              <w:top w:w="8" w:type="dxa"/>
              <w:left w:w="8" w:type="dxa"/>
              <w:right w:w="8" w:type="dxa"/>
            </w:tcMar>
            <w:vAlign w:val="center"/>
          </w:tcPr>
          <w:p>
            <w:pPr>
              <w:jc w:val="center"/>
              <w:rPr>
                <w:rFonts w:eastAsia="仿宋_GB2312"/>
                <w:color w:val="000000"/>
                <w:sz w:val="24"/>
              </w:rPr>
            </w:pPr>
            <w:r>
              <w:rPr>
                <w:rFonts w:eastAsia="仿宋_GB2312"/>
                <w:color w:val="000000"/>
                <w:sz w:val="24"/>
              </w:rPr>
              <w:t>/</w:t>
            </w:r>
          </w:p>
        </w:tc>
      </w:tr>
    </w:tbl>
    <w:p>
      <w:pPr>
        <w:ind w:firstLine="640" w:firstLineChars="200"/>
        <w:rPr>
          <w:rFonts w:eastAsia="仿宋_GB2312"/>
        </w:rPr>
      </w:pPr>
      <w:r>
        <w:rPr>
          <w:rFonts w:eastAsia="仿宋_GB2312"/>
          <w:sz w:val="32"/>
          <w:szCs w:val="32"/>
        </w:rPr>
        <w:t>从表1、2可以看出，本项目绩效目标的设置基本是围绕项目主要工作内容来进行，绩效目标基本能反映项目的主要工作成果，在数量指标、社会经济效益指标中，包含了可衡量的数量指标，指标设置总体完整、合理、可衡量</w:t>
      </w:r>
      <w:r>
        <w:rPr>
          <w:rFonts w:eastAsia="仿宋_GB2312"/>
        </w:rPr>
        <w:t>。</w:t>
      </w:r>
    </w:p>
    <w:p>
      <w:pPr>
        <w:pStyle w:val="2"/>
        <w:ind w:firstLine="640"/>
      </w:pPr>
      <w:r>
        <w:rPr>
          <w:rFonts w:hint="eastAsia" w:ascii="Times New Roman" w:hAnsi="Times New Roman"/>
          <w:b w:val="0"/>
          <w:bCs w:val="0"/>
        </w:rPr>
        <w:t>该指标分值6分，自评得分6分。</w:t>
      </w:r>
    </w:p>
    <w:p>
      <w:pPr>
        <w:spacing w:line="360" w:lineRule="auto"/>
        <w:ind w:firstLine="640" w:firstLineChars="200"/>
        <w:rPr>
          <w:rFonts w:eastAsia="仿宋_GB2312"/>
          <w:sz w:val="32"/>
          <w:szCs w:val="32"/>
        </w:rPr>
      </w:pPr>
      <w:r>
        <w:rPr>
          <w:rFonts w:eastAsia="仿宋_GB2312"/>
          <w:sz w:val="32"/>
          <w:szCs w:val="32"/>
        </w:rPr>
        <w:t>（3）保障措施。</w:t>
      </w:r>
    </w:p>
    <w:p>
      <w:pPr>
        <w:spacing w:line="360" w:lineRule="auto"/>
        <w:ind w:firstLine="640" w:firstLineChars="200"/>
        <w:rPr>
          <w:rFonts w:eastAsia="仿宋_GB2312"/>
          <w:sz w:val="32"/>
          <w:szCs w:val="32"/>
        </w:rPr>
      </w:pPr>
      <w:r>
        <w:rPr>
          <w:rFonts w:eastAsia="仿宋_GB2312"/>
          <w:sz w:val="32"/>
          <w:szCs w:val="32"/>
        </w:rPr>
        <w:t>本项目主要依据如下制度:</w:t>
      </w:r>
    </w:p>
    <w:p>
      <w:pPr>
        <w:pStyle w:val="2"/>
        <w:ind w:firstLine="643"/>
      </w:pPr>
    </w:p>
    <w:p>
      <w:pPr>
        <w:jc w:val="center"/>
        <w:rPr>
          <w:rFonts w:eastAsia="黑体"/>
          <w:sz w:val="28"/>
          <w:szCs w:val="28"/>
        </w:rPr>
      </w:pPr>
      <w:r>
        <w:rPr>
          <w:rFonts w:eastAsia="黑体"/>
          <w:sz w:val="28"/>
          <w:szCs w:val="28"/>
        </w:rPr>
        <w:t>表3   项目实施执行制度情况表</w:t>
      </w:r>
    </w:p>
    <w:tbl>
      <w:tblPr>
        <w:tblStyle w:val="15"/>
        <w:tblW w:w="8225" w:type="dxa"/>
        <w:tblInd w:w="0" w:type="dxa"/>
        <w:tblLayout w:type="fixed"/>
        <w:tblCellMar>
          <w:top w:w="0" w:type="dxa"/>
          <w:left w:w="0" w:type="dxa"/>
          <w:bottom w:w="0" w:type="dxa"/>
          <w:right w:w="0" w:type="dxa"/>
        </w:tblCellMar>
      </w:tblPr>
      <w:tblGrid>
        <w:gridCol w:w="791"/>
        <w:gridCol w:w="7434"/>
      </w:tblGrid>
      <w:tr>
        <w:tblPrEx>
          <w:tblLayout w:type="fixed"/>
          <w:tblCellMar>
            <w:top w:w="0" w:type="dxa"/>
            <w:left w:w="0" w:type="dxa"/>
            <w:bottom w:w="0" w:type="dxa"/>
            <w:right w:w="0" w:type="dxa"/>
          </w:tblCellMar>
        </w:tblPrEx>
        <w:trPr>
          <w:trHeight w:val="6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序号</w:t>
            </w:r>
          </w:p>
        </w:tc>
        <w:tc>
          <w:tcPr>
            <w:tcW w:w="743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制度名称</w:t>
            </w:r>
          </w:p>
        </w:tc>
      </w:tr>
      <w:tr>
        <w:tblPrEx>
          <w:tblLayout w:type="fixed"/>
          <w:tblCellMar>
            <w:top w:w="0" w:type="dxa"/>
            <w:left w:w="0" w:type="dxa"/>
            <w:bottom w:w="0" w:type="dxa"/>
            <w:right w:w="0" w:type="dxa"/>
          </w:tblCellMar>
        </w:tblPrEx>
        <w:trPr>
          <w:trHeight w:val="6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1</w:t>
            </w:r>
          </w:p>
        </w:tc>
        <w:tc>
          <w:tcPr>
            <w:tcW w:w="743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《中共中央 国务院关于统一规划体系更好发挥国家发展规划战略导向作用的意见》（中发〔2018〕44号）</w:t>
            </w:r>
          </w:p>
        </w:tc>
      </w:tr>
      <w:tr>
        <w:tblPrEx>
          <w:tblLayout w:type="fixed"/>
          <w:tblCellMar>
            <w:top w:w="0" w:type="dxa"/>
            <w:left w:w="0" w:type="dxa"/>
            <w:bottom w:w="0" w:type="dxa"/>
            <w:right w:w="0" w:type="dxa"/>
          </w:tblCellMar>
        </w:tblPrEx>
        <w:trPr>
          <w:trHeight w:val="6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2</w:t>
            </w:r>
          </w:p>
        </w:tc>
        <w:tc>
          <w:tcPr>
            <w:tcW w:w="743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《自然资源部关于做好省级国土空间规划编制的指导意见（讨论稿）》</w:t>
            </w:r>
          </w:p>
        </w:tc>
      </w:tr>
      <w:tr>
        <w:tblPrEx>
          <w:tblLayout w:type="fixed"/>
          <w:tblCellMar>
            <w:top w:w="0" w:type="dxa"/>
            <w:left w:w="0" w:type="dxa"/>
            <w:bottom w:w="0" w:type="dxa"/>
            <w:right w:w="0" w:type="dxa"/>
          </w:tblCellMar>
        </w:tblPrEx>
        <w:trPr>
          <w:trHeight w:val="6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3</w:t>
            </w:r>
          </w:p>
        </w:tc>
        <w:tc>
          <w:tcPr>
            <w:tcW w:w="743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《自然资源部办公厅关于开展国土空间规划监测评估预警管理系统建设的通知》</w:t>
            </w:r>
          </w:p>
        </w:tc>
      </w:tr>
      <w:tr>
        <w:tblPrEx>
          <w:tblLayout w:type="fixed"/>
          <w:tblCellMar>
            <w:top w:w="0" w:type="dxa"/>
            <w:left w:w="0" w:type="dxa"/>
            <w:bottom w:w="0" w:type="dxa"/>
            <w:right w:w="0" w:type="dxa"/>
          </w:tblCellMar>
        </w:tblPrEx>
        <w:trPr>
          <w:trHeight w:val="6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4</w:t>
            </w:r>
          </w:p>
        </w:tc>
        <w:tc>
          <w:tcPr>
            <w:tcW w:w="743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《中共中央 国务院关于建立国土空间规划体系并监督实施的若干意见》（中发〔2019〕18号）</w:t>
            </w:r>
          </w:p>
        </w:tc>
      </w:tr>
      <w:tr>
        <w:tblPrEx>
          <w:tblLayout w:type="fixed"/>
          <w:tblCellMar>
            <w:top w:w="0" w:type="dxa"/>
            <w:left w:w="0" w:type="dxa"/>
            <w:bottom w:w="0" w:type="dxa"/>
            <w:right w:w="0" w:type="dxa"/>
          </w:tblCellMar>
        </w:tblPrEx>
        <w:trPr>
          <w:trHeight w:val="6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5</w:t>
            </w:r>
          </w:p>
        </w:tc>
        <w:tc>
          <w:tcPr>
            <w:tcW w:w="743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《自然资源部关于全面开展国土空间规划工作的通知(自然资发》（然资发〔2019〕87号）</w:t>
            </w:r>
          </w:p>
        </w:tc>
      </w:tr>
      <w:tr>
        <w:tblPrEx>
          <w:tblLayout w:type="fixed"/>
          <w:tblCellMar>
            <w:top w:w="0" w:type="dxa"/>
            <w:left w:w="0" w:type="dxa"/>
            <w:bottom w:w="0" w:type="dxa"/>
            <w:right w:w="0" w:type="dxa"/>
          </w:tblCellMar>
        </w:tblPrEx>
        <w:trPr>
          <w:trHeight w:val="6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6</w:t>
            </w:r>
          </w:p>
        </w:tc>
        <w:tc>
          <w:tcPr>
            <w:tcW w:w="743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《省级国土空间规划编制指南》</w:t>
            </w:r>
          </w:p>
        </w:tc>
      </w:tr>
      <w:tr>
        <w:tblPrEx>
          <w:tblLayout w:type="fixed"/>
          <w:tblCellMar>
            <w:top w:w="0" w:type="dxa"/>
            <w:left w:w="0" w:type="dxa"/>
            <w:bottom w:w="0" w:type="dxa"/>
            <w:right w:w="0" w:type="dxa"/>
          </w:tblCellMar>
        </w:tblPrEx>
        <w:trPr>
          <w:trHeight w:val="6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7</w:t>
            </w:r>
          </w:p>
        </w:tc>
        <w:tc>
          <w:tcPr>
            <w:tcW w:w="7434"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《资源环境承载能力和国土空间开发适宜性评价指南》</w:t>
            </w:r>
          </w:p>
        </w:tc>
      </w:tr>
    </w:tbl>
    <w:p>
      <w:pPr>
        <w:rPr>
          <w:rFonts w:eastAsia="仿宋_GB2312"/>
        </w:rPr>
      </w:pPr>
    </w:p>
    <w:p>
      <w:pPr>
        <w:ind w:firstLine="640" w:firstLineChars="200"/>
        <w:rPr>
          <w:rFonts w:eastAsia="仿宋_GB2312"/>
          <w:sz w:val="32"/>
          <w:szCs w:val="32"/>
        </w:rPr>
      </w:pPr>
      <w:r>
        <w:rPr>
          <w:rFonts w:eastAsia="仿宋_GB2312"/>
          <w:sz w:val="32"/>
          <w:szCs w:val="32"/>
        </w:rPr>
        <w:t>从上表以及省自然资源厅、广东省土地勘测规划院的各项规章制度可见，各项制度较为完整，执行较为到位。</w:t>
      </w:r>
    </w:p>
    <w:p>
      <w:pPr>
        <w:ind w:firstLine="640" w:firstLineChars="200"/>
        <w:rPr>
          <w:rFonts w:eastAsia="仿宋_GB2312"/>
          <w:sz w:val="32"/>
          <w:szCs w:val="32"/>
        </w:rPr>
      </w:pPr>
      <w:r>
        <w:rPr>
          <w:rFonts w:eastAsia="仿宋_GB2312"/>
          <w:sz w:val="32"/>
          <w:szCs w:val="32"/>
        </w:rPr>
        <w:t>根据2018年度以及广东省空间规划编制依据文件的要求，本专项资金的使用计划主要分为在2019年底之前完成和在2020年底完成，其中省本级600万元资金以及监督平台建设，要求在2019年底之前完成；广东省空间规划编制要求2019年9月30日前提交初步成果、2019年11月30日前提交规划编制正式成果，2020年底前完成规划审批、发布工作。各项工作计划制定与依据文件及项目工作内容相符，计划合理编制合理、可行。</w:t>
      </w:r>
    </w:p>
    <w:p>
      <w:pPr>
        <w:pStyle w:val="2"/>
        <w:ind w:firstLine="640"/>
      </w:pPr>
      <w:r>
        <w:rPr>
          <w:rFonts w:hint="eastAsia" w:ascii="Times New Roman" w:hAnsi="Times New Roman"/>
          <w:b w:val="0"/>
          <w:bCs w:val="0"/>
        </w:rPr>
        <w:t>该指标分值2分，自评得分2分。</w:t>
      </w:r>
    </w:p>
    <w:p>
      <w:pPr>
        <w:spacing w:line="360" w:lineRule="auto"/>
        <w:ind w:firstLine="640" w:firstLineChars="200"/>
        <w:rPr>
          <w:rFonts w:eastAsia="仿宋_GB2312"/>
          <w:sz w:val="32"/>
          <w:szCs w:val="32"/>
        </w:rPr>
      </w:pPr>
      <w:r>
        <w:rPr>
          <w:rFonts w:eastAsia="仿宋_GB2312"/>
          <w:sz w:val="32"/>
          <w:szCs w:val="32"/>
        </w:rPr>
        <w:t>（4）资金到位。</w:t>
      </w:r>
    </w:p>
    <w:p>
      <w:pPr>
        <w:widowControl/>
        <w:ind w:firstLine="640" w:firstLineChars="200"/>
        <w:jc w:val="left"/>
        <w:rPr>
          <w:rFonts w:eastAsia="仿宋_GB2312"/>
          <w:sz w:val="32"/>
          <w:szCs w:val="32"/>
        </w:rPr>
      </w:pPr>
      <w:r>
        <w:rPr>
          <w:rFonts w:eastAsia="仿宋_GB2312"/>
          <w:sz w:val="32"/>
          <w:szCs w:val="32"/>
        </w:rPr>
        <w:t>本项目资金分两部分下达，省本级600万元资金是以部门预算的方式下达到省自然资源厅，然后进行分解，资金下达文件是《关于批复 2019 年省级部门预算的通知》（粤财预〔2019〕35号），资金在省自然资源厅进行分解的文件是《关于批复2019年部门预算资金分解指标的通知》（</w:t>
      </w:r>
      <w:r>
        <w:rPr>
          <w:rFonts w:eastAsia="仿宋_GB2312"/>
          <w:color w:val="000000"/>
          <w:kern w:val="0"/>
          <w:sz w:val="32"/>
          <w:szCs w:val="32"/>
          <w:lang w:bidi="ar"/>
        </w:rPr>
        <w:t>粤自然资财务发〔2019〕5 号</w:t>
      </w:r>
      <w:r>
        <w:rPr>
          <w:rFonts w:eastAsia="仿宋_GB2312"/>
          <w:sz w:val="32"/>
          <w:szCs w:val="32"/>
        </w:rPr>
        <w:t>），这部分资金下达的时间是2019年2月22日。全省国土空间规划编制实施管理专项经费2500万元，是通过《关于下达2019年灾害防治及应急管理（地质灾害、城市地质、空间规划）资金（第一批）的通知》（粤财工〔2019〕41号）安排下达，下达时间为2019年3月29日。</w:t>
      </w:r>
    </w:p>
    <w:p>
      <w:pPr>
        <w:ind w:firstLine="640" w:firstLineChars="200"/>
        <w:rPr>
          <w:rFonts w:eastAsia="仿宋_GB2312"/>
          <w:color w:val="000000"/>
          <w:kern w:val="0"/>
          <w:sz w:val="32"/>
          <w:szCs w:val="32"/>
          <w:lang w:bidi="ar"/>
        </w:rPr>
      </w:pPr>
      <w:r>
        <w:rPr>
          <w:rFonts w:eastAsia="仿宋_GB2312"/>
          <w:color w:val="000000"/>
          <w:kern w:val="0"/>
          <w:sz w:val="32"/>
          <w:szCs w:val="32"/>
          <w:lang w:bidi="ar"/>
        </w:rPr>
        <w:t>综上所述，本项目资金到位率和到位及时性良好</w:t>
      </w:r>
      <w:r>
        <w:rPr>
          <w:rFonts w:hint="eastAsia" w:eastAsia="仿宋_GB2312"/>
          <w:color w:val="000000"/>
          <w:kern w:val="0"/>
          <w:sz w:val="32"/>
          <w:szCs w:val="32"/>
          <w:lang w:bidi="ar"/>
        </w:rPr>
        <w:t>，该指标分值5分，自评得分5分</w:t>
      </w:r>
      <w:r>
        <w:rPr>
          <w:rFonts w:eastAsia="仿宋_GB2312"/>
          <w:color w:val="000000"/>
          <w:kern w:val="0"/>
          <w:sz w:val="32"/>
          <w:szCs w:val="32"/>
          <w:lang w:bidi="ar"/>
        </w:rPr>
        <w:t>。</w:t>
      </w:r>
    </w:p>
    <w:p>
      <w:pPr>
        <w:spacing w:line="360" w:lineRule="auto"/>
        <w:ind w:firstLine="640" w:firstLineChars="200"/>
        <w:rPr>
          <w:rFonts w:eastAsia="仿宋_GB2312"/>
          <w:sz w:val="32"/>
          <w:szCs w:val="32"/>
        </w:rPr>
      </w:pPr>
      <w:r>
        <w:rPr>
          <w:rFonts w:eastAsia="仿宋_GB2312"/>
          <w:sz w:val="32"/>
          <w:szCs w:val="32"/>
        </w:rPr>
        <w:t>（5）资金分配。</w:t>
      </w:r>
    </w:p>
    <w:p>
      <w:pPr>
        <w:spacing w:line="360" w:lineRule="auto"/>
        <w:ind w:firstLine="640" w:firstLineChars="200"/>
        <w:rPr>
          <w:rFonts w:eastAsia="仿宋_GB2312"/>
          <w:sz w:val="32"/>
          <w:szCs w:val="32"/>
        </w:rPr>
      </w:pPr>
      <w:r>
        <w:rPr>
          <w:rFonts w:eastAsia="仿宋_GB2312"/>
          <w:sz w:val="32"/>
          <w:szCs w:val="32"/>
        </w:rPr>
        <w:t>本项目资金分配均按照预算编制时确定的方案进行，其中省本级600万元资金中，广东省土地勘测规划研究院占555万元，省自然资源厅规划处占45万元。全省国土空间规划编制实施管理专项经费2500万元均由广东省土地勘测规划研究院使用。</w:t>
      </w:r>
    </w:p>
    <w:p>
      <w:pPr>
        <w:pStyle w:val="2"/>
        <w:ind w:firstLine="640"/>
        <w:rPr>
          <w:b w:val="0"/>
          <w:bCs w:val="0"/>
        </w:rPr>
      </w:pPr>
      <w:r>
        <w:rPr>
          <w:rFonts w:hint="eastAsia"/>
          <w:b w:val="0"/>
          <w:bCs w:val="0"/>
        </w:rPr>
        <w:t>该指标分值3分，自评得分3分。</w:t>
      </w:r>
    </w:p>
    <w:p>
      <w:pPr>
        <w:spacing w:line="360" w:lineRule="auto"/>
        <w:ind w:firstLine="640" w:firstLineChars="200"/>
        <w:rPr>
          <w:rFonts w:eastAsia="仿宋_GB2312"/>
          <w:sz w:val="32"/>
          <w:szCs w:val="32"/>
        </w:rPr>
      </w:pPr>
      <w:r>
        <w:rPr>
          <w:rFonts w:eastAsia="仿宋_GB2312"/>
          <w:sz w:val="32"/>
          <w:szCs w:val="32"/>
        </w:rPr>
        <w:t>（6）资金支付。</w:t>
      </w:r>
    </w:p>
    <w:p>
      <w:pPr>
        <w:spacing w:line="360" w:lineRule="auto"/>
        <w:ind w:firstLine="640" w:firstLineChars="200"/>
        <w:rPr>
          <w:rFonts w:eastAsia="仿宋_GB2312"/>
          <w:sz w:val="32"/>
          <w:szCs w:val="32"/>
        </w:rPr>
      </w:pPr>
      <w:r>
        <w:rPr>
          <w:rFonts w:eastAsia="仿宋_GB2312"/>
          <w:sz w:val="32"/>
          <w:szCs w:val="32"/>
        </w:rPr>
        <w:t>截至评价日期，本项目资金支出情况见表4：</w:t>
      </w:r>
    </w:p>
    <w:p>
      <w:pPr>
        <w:jc w:val="center"/>
        <w:rPr>
          <w:rFonts w:eastAsia="黑体"/>
          <w:sz w:val="28"/>
          <w:szCs w:val="28"/>
        </w:rPr>
      </w:pPr>
    </w:p>
    <w:p>
      <w:pPr>
        <w:jc w:val="center"/>
        <w:rPr>
          <w:rFonts w:eastAsia="黑体"/>
          <w:sz w:val="28"/>
          <w:szCs w:val="28"/>
        </w:rPr>
      </w:pPr>
      <w:r>
        <w:rPr>
          <w:rFonts w:eastAsia="黑体"/>
          <w:sz w:val="28"/>
          <w:szCs w:val="28"/>
        </w:rPr>
        <w:t>表4   资金支出情况表</w:t>
      </w:r>
    </w:p>
    <w:p>
      <w:pPr>
        <w:jc w:val="right"/>
        <w:rPr>
          <w:rFonts w:eastAsia="仿宋_GB2312"/>
          <w:sz w:val="24"/>
        </w:rPr>
      </w:pPr>
      <w:r>
        <w:rPr>
          <w:rFonts w:eastAsia="仿宋_GB2312"/>
          <w:sz w:val="24"/>
        </w:rPr>
        <w:t>单位：万元</w:t>
      </w:r>
    </w:p>
    <w:tbl>
      <w:tblPr>
        <w:tblStyle w:val="15"/>
        <w:tblW w:w="9090" w:type="dxa"/>
        <w:tblInd w:w="-312" w:type="dxa"/>
        <w:tblLayout w:type="fixed"/>
        <w:tblCellMar>
          <w:top w:w="0" w:type="dxa"/>
          <w:left w:w="0" w:type="dxa"/>
          <w:bottom w:w="0" w:type="dxa"/>
          <w:right w:w="0" w:type="dxa"/>
        </w:tblCellMar>
      </w:tblPr>
      <w:tblGrid>
        <w:gridCol w:w="680"/>
        <w:gridCol w:w="7270"/>
        <w:gridCol w:w="1140"/>
      </w:tblGrid>
      <w:tr>
        <w:tblPrEx>
          <w:tblLayout w:type="fixed"/>
          <w:tblCellMar>
            <w:top w:w="0" w:type="dxa"/>
            <w:left w:w="0" w:type="dxa"/>
            <w:bottom w:w="0" w:type="dxa"/>
            <w:right w:w="0" w:type="dxa"/>
          </w:tblCellMar>
        </w:tblPrEx>
        <w:trPr>
          <w:trHeight w:val="438"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序号</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项 目 名 称</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金额</w:t>
            </w:r>
          </w:p>
        </w:tc>
      </w:tr>
      <w:tr>
        <w:tblPrEx>
          <w:tblLayout w:type="fixed"/>
          <w:tblCellMar>
            <w:top w:w="0" w:type="dxa"/>
            <w:left w:w="0" w:type="dxa"/>
            <w:bottom w:w="0" w:type="dxa"/>
            <w:right w:w="0" w:type="dxa"/>
          </w:tblCellMar>
        </w:tblPrEx>
        <w:trPr>
          <w:trHeight w:val="382"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1</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color w:val="000000"/>
                <w:sz w:val="22"/>
                <w:szCs w:val="22"/>
              </w:rPr>
            </w:pPr>
            <w:r>
              <w:rPr>
                <w:color w:val="000000"/>
                <w:kern w:val="0"/>
                <w:sz w:val="22"/>
                <w:szCs w:val="22"/>
                <w:lang w:bidi="ar"/>
              </w:rPr>
              <w:t>“一核一带一区”区域发展新格局的国土空间响应编制服务</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49.8</w:t>
            </w:r>
          </w:p>
        </w:tc>
      </w:tr>
      <w:tr>
        <w:tblPrEx>
          <w:tblLayout w:type="fixed"/>
          <w:tblCellMar>
            <w:top w:w="0" w:type="dxa"/>
            <w:left w:w="0" w:type="dxa"/>
            <w:bottom w:w="0" w:type="dxa"/>
            <w:right w:w="0" w:type="dxa"/>
          </w:tblCellMar>
        </w:tblPrEx>
        <w:trPr>
          <w:trHeight w:val="392"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2</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color w:val="000000"/>
                <w:sz w:val="22"/>
                <w:szCs w:val="22"/>
              </w:rPr>
            </w:pPr>
            <w:r>
              <w:rPr>
                <w:color w:val="000000"/>
                <w:kern w:val="0"/>
                <w:sz w:val="22"/>
                <w:szCs w:val="22"/>
                <w:lang w:bidi="ar"/>
              </w:rPr>
              <w:t>《粤港澳大湾区背景下的珠三角国土空间优化和区域协同发展》研究合同</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150</w:t>
            </w:r>
          </w:p>
        </w:tc>
      </w:tr>
      <w:tr>
        <w:tblPrEx>
          <w:tblLayout w:type="fixed"/>
          <w:tblCellMar>
            <w:top w:w="0" w:type="dxa"/>
            <w:left w:w="0" w:type="dxa"/>
            <w:bottom w:w="0" w:type="dxa"/>
            <w:right w:w="0" w:type="dxa"/>
          </w:tblCellMar>
        </w:tblPrEx>
        <w:trPr>
          <w:trHeight w:val="392"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3</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color w:val="000000"/>
                <w:sz w:val="22"/>
                <w:szCs w:val="22"/>
              </w:rPr>
            </w:pPr>
            <w:r>
              <w:rPr>
                <w:color w:val="000000"/>
                <w:kern w:val="0"/>
                <w:sz w:val="22"/>
                <w:szCs w:val="22"/>
                <w:lang w:bidi="ar"/>
              </w:rPr>
              <w:t>科学编制实施乡村规划促进乡村振兴研究合同</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49.8</w:t>
            </w:r>
          </w:p>
        </w:tc>
      </w:tr>
      <w:tr>
        <w:tblPrEx>
          <w:tblLayout w:type="fixed"/>
          <w:tblCellMar>
            <w:top w:w="0" w:type="dxa"/>
            <w:left w:w="0" w:type="dxa"/>
            <w:bottom w:w="0" w:type="dxa"/>
            <w:right w:w="0" w:type="dxa"/>
          </w:tblCellMar>
        </w:tblPrEx>
        <w:trPr>
          <w:trHeight w:val="392"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4</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color w:val="000000"/>
                <w:sz w:val="22"/>
                <w:szCs w:val="22"/>
              </w:rPr>
            </w:pPr>
            <w:r>
              <w:rPr>
                <w:color w:val="000000"/>
                <w:kern w:val="0"/>
                <w:sz w:val="22"/>
                <w:szCs w:val="22"/>
                <w:lang w:bidi="ar"/>
              </w:rPr>
              <w:t>广东省主体功能区分区优化及粤北生态发展区支持政策研究合同</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59.9</w:t>
            </w:r>
          </w:p>
        </w:tc>
      </w:tr>
      <w:tr>
        <w:tblPrEx>
          <w:tblLayout w:type="fixed"/>
          <w:tblCellMar>
            <w:top w:w="0" w:type="dxa"/>
            <w:left w:w="0" w:type="dxa"/>
            <w:bottom w:w="0" w:type="dxa"/>
            <w:right w:w="0" w:type="dxa"/>
          </w:tblCellMar>
        </w:tblPrEx>
        <w:trPr>
          <w:trHeight w:val="412"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5</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color w:val="000000"/>
                <w:sz w:val="22"/>
                <w:szCs w:val="22"/>
              </w:rPr>
            </w:pPr>
            <w:r>
              <w:rPr>
                <w:color w:val="000000"/>
                <w:kern w:val="0"/>
                <w:sz w:val="22"/>
                <w:szCs w:val="22"/>
                <w:lang w:bidi="ar"/>
              </w:rPr>
              <w:t>规划修改流程优化及相关数据整理入库</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79.5</w:t>
            </w:r>
          </w:p>
        </w:tc>
      </w:tr>
      <w:tr>
        <w:tblPrEx>
          <w:tblLayout w:type="fixed"/>
          <w:tblCellMar>
            <w:top w:w="0" w:type="dxa"/>
            <w:left w:w="0" w:type="dxa"/>
            <w:bottom w:w="0" w:type="dxa"/>
            <w:right w:w="0" w:type="dxa"/>
          </w:tblCellMar>
        </w:tblPrEx>
        <w:trPr>
          <w:trHeight w:val="402"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6</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color w:val="000000"/>
                <w:sz w:val="22"/>
                <w:szCs w:val="22"/>
              </w:rPr>
            </w:pPr>
            <w:r>
              <w:rPr>
                <w:color w:val="000000"/>
                <w:kern w:val="0"/>
                <w:sz w:val="22"/>
                <w:szCs w:val="22"/>
                <w:lang w:bidi="ar"/>
              </w:rPr>
              <w:t>新型城镇化战略下的广东省城镇（人口）、用地发展趋势和支撑关系研究</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45</w:t>
            </w:r>
          </w:p>
        </w:tc>
      </w:tr>
      <w:tr>
        <w:tblPrEx>
          <w:tblLayout w:type="fixed"/>
          <w:tblCellMar>
            <w:top w:w="0" w:type="dxa"/>
            <w:left w:w="0" w:type="dxa"/>
            <w:bottom w:w="0" w:type="dxa"/>
            <w:right w:w="0" w:type="dxa"/>
          </w:tblCellMar>
        </w:tblPrEx>
        <w:trPr>
          <w:trHeight w:val="422"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rFonts w:hint="eastAsia" w:eastAsia="宋体"/>
                <w:color w:val="000000"/>
                <w:sz w:val="22"/>
                <w:szCs w:val="22"/>
                <w:lang w:eastAsia="zh-CN"/>
              </w:rPr>
            </w:pPr>
            <w:r>
              <w:rPr>
                <w:rFonts w:hint="eastAsia"/>
                <w:color w:val="000000"/>
                <w:kern w:val="0"/>
                <w:sz w:val="22"/>
                <w:szCs w:val="22"/>
                <w:lang w:val="en-US" w:eastAsia="zh-CN" w:bidi="ar"/>
              </w:rPr>
              <w:t>7</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color w:val="000000"/>
                <w:sz w:val="22"/>
                <w:szCs w:val="22"/>
              </w:rPr>
            </w:pPr>
            <w:r>
              <w:rPr>
                <w:color w:val="000000"/>
                <w:kern w:val="0"/>
                <w:sz w:val="22"/>
                <w:szCs w:val="22"/>
                <w:lang w:bidi="ar"/>
              </w:rPr>
              <w:t>广东省国土空间规划（2020-2035）编制</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1891.8</w:t>
            </w:r>
          </w:p>
        </w:tc>
      </w:tr>
      <w:tr>
        <w:tblPrEx>
          <w:tblLayout w:type="fixed"/>
          <w:tblCellMar>
            <w:top w:w="0" w:type="dxa"/>
            <w:left w:w="0" w:type="dxa"/>
            <w:bottom w:w="0" w:type="dxa"/>
            <w:right w:w="0"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rFonts w:hint="eastAsia" w:eastAsia="宋体"/>
                <w:color w:val="000000"/>
                <w:sz w:val="22"/>
                <w:szCs w:val="22"/>
                <w:lang w:eastAsia="zh-CN"/>
              </w:rPr>
            </w:pPr>
            <w:r>
              <w:rPr>
                <w:rFonts w:hint="eastAsia"/>
                <w:color w:val="000000"/>
                <w:kern w:val="0"/>
                <w:sz w:val="22"/>
                <w:szCs w:val="22"/>
                <w:lang w:val="en-US" w:eastAsia="zh-CN" w:bidi="ar"/>
              </w:rPr>
              <w:t>8</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color w:val="000000"/>
                <w:sz w:val="22"/>
                <w:szCs w:val="22"/>
              </w:rPr>
            </w:pPr>
            <w:r>
              <w:rPr>
                <w:color w:val="000000"/>
                <w:kern w:val="0"/>
                <w:sz w:val="22"/>
                <w:szCs w:val="22"/>
                <w:lang w:bidi="ar"/>
              </w:rPr>
              <w:t>广东省国土空间规划“一张图”实施监督信息平台建设监理项目</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10.98</w:t>
            </w:r>
          </w:p>
        </w:tc>
      </w:tr>
      <w:tr>
        <w:tblPrEx>
          <w:tblLayout w:type="fixed"/>
          <w:tblCellMar>
            <w:top w:w="0" w:type="dxa"/>
            <w:left w:w="0" w:type="dxa"/>
            <w:bottom w:w="0" w:type="dxa"/>
            <w:right w:w="0"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rFonts w:hint="eastAsia" w:eastAsia="宋体"/>
                <w:color w:val="000000"/>
                <w:sz w:val="22"/>
                <w:szCs w:val="22"/>
                <w:lang w:eastAsia="zh-CN"/>
              </w:rPr>
            </w:pPr>
            <w:r>
              <w:rPr>
                <w:rFonts w:hint="eastAsia"/>
                <w:color w:val="000000"/>
                <w:kern w:val="0"/>
                <w:sz w:val="22"/>
                <w:szCs w:val="22"/>
                <w:lang w:val="en-US" w:eastAsia="zh-CN" w:bidi="ar"/>
              </w:rPr>
              <w:t>9</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left"/>
              <w:textAlignment w:val="center"/>
              <w:rPr>
                <w:color w:val="000000"/>
                <w:sz w:val="22"/>
                <w:szCs w:val="22"/>
              </w:rPr>
            </w:pPr>
            <w:r>
              <w:rPr>
                <w:color w:val="000000"/>
                <w:kern w:val="0"/>
                <w:sz w:val="22"/>
                <w:szCs w:val="22"/>
                <w:lang w:bidi="ar"/>
              </w:rPr>
              <w:t>广东省国土空间规划“一张图”实施监督信息平台建设项目</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486.675</w:t>
            </w:r>
          </w:p>
        </w:tc>
      </w:tr>
      <w:tr>
        <w:tblPrEx>
          <w:tblLayout w:type="fixed"/>
          <w:tblCellMar>
            <w:top w:w="0" w:type="dxa"/>
            <w:left w:w="0" w:type="dxa"/>
            <w:bottom w:w="0" w:type="dxa"/>
            <w:right w:w="0" w:type="dxa"/>
          </w:tblCellMar>
        </w:tblPrEx>
        <w:trPr>
          <w:trHeight w:val="454" w:hRule="atLeast"/>
        </w:trPr>
        <w:tc>
          <w:tcPr>
            <w:tcW w:w="68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rFonts w:hint="eastAsia" w:eastAsia="宋体"/>
                <w:color w:val="000000"/>
                <w:kern w:val="0"/>
                <w:sz w:val="22"/>
                <w:szCs w:val="22"/>
                <w:lang w:eastAsia="zh-CN" w:bidi="ar"/>
              </w:rPr>
            </w:pPr>
            <w:r>
              <w:rPr>
                <w:color w:val="000000"/>
                <w:kern w:val="0"/>
                <w:sz w:val="22"/>
                <w:szCs w:val="22"/>
                <w:lang w:bidi="ar"/>
              </w:rPr>
              <w:t>1</w:t>
            </w:r>
            <w:r>
              <w:rPr>
                <w:rFonts w:hint="eastAsia"/>
                <w:color w:val="000000"/>
                <w:kern w:val="0"/>
                <w:sz w:val="22"/>
                <w:szCs w:val="22"/>
                <w:lang w:val="en-US" w:eastAsia="zh-CN" w:bidi="ar"/>
              </w:rPr>
              <w:t>0</w:t>
            </w:r>
          </w:p>
        </w:tc>
        <w:tc>
          <w:tcPr>
            <w:tcW w:w="727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kern w:val="0"/>
                <w:sz w:val="22"/>
                <w:szCs w:val="22"/>
                <w:highlight w:val="yellow"/>
                <w:lang w:bidi="ar"/>
              </w:rPr>
            </w:pPr>
            <w:r>
              <w:rPr>
                <w:color w:val="000000"/>
                <w:kern w:val="0"/>
                <w:sz w:val="22"/>
                <w:szCs w:val="22"/>
                <w:lang w:bidi="ar"/>
              </w:rPr>
              <w:t>广东省国土空间规划“一张图”实施监督信息平台建设技术咨询及成果验证</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kern w:val="0"/>
                <w:sz w:val="22"/>
                <w:szCs w:val="22"/>
                <w:lang w:bidi="ar"/>
              </w:rPr>
            </w:pPr>
            <w:r>
              <w:rPr>
                <w:color w:val="000000"/>
                <w:kern w:val="0"/>
                <w:sz w:val="22"/>
                <w:szCs w:val="22"/>
                <w:lang w:bidi="ar"/>
              </w:rPr>
              <w:t>24.5</w:t>
            </w:r>
          </w:p>
        </w:tc>
      </w:tr>
      <w:tr>
        <w:tblPrEx>
          <w:tblLayout w:type="fixed"/>
          <w:tblCellMar>
            <w:top w:w="0" w:type="dxa"/>
            <w:left w:w="0" w:type="dxa"/>
            <w:bottom w:w="0" w:type="dxa"/>
            <w:right w:w="0" w:type="dxa"/>
          </w:tblCellMar>
        </w:tblPrEx>
        <w:trPr>
          <w:trHeight w:val="454" w:hRule="atLeast"/>
        </w:trPr>
        <w:tc>
          <w:tcPr>
            <w:tcW w:w="7950" w:type="dxa"/>
            <w:gridSpan w:val="2"/>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合    计</w:t>
            </w:r>
          </w:p>
        </w:tc>
        <w:tc>
          <w:tcPr>
            <w:tcW w:w="1140" w:type="dxa"/>
            <w:tcBorders>
              <w:top w:val="single" w:color="auto" w:sz="4" w:space="0"/>
              <w:left w:val="single" w:color="auto" w:sz="4" w:space="0"/>
              <w:bottom w:val="single" w:color="auto" w:sz="4" w:space="0"/>
              <w:right w:val="single" w:color="auto" w:sz="4" w:space="0"/>
            </w:tcBorders>
            <w:shd w:val="clear" w:color="auto" w:fill="auto"/>
            <w:noWrap/>
            <w:tcMar>
              <w:top w:w="8" w:type="dxa"/>
              <w:left w:w="8" w:type="dxa"/>
              <w:right w:w="8" w:type="dxa"/>
            </w:tcMar>
            <w:vAlign w:val="center"/>
          </w:tcPr>
          <w:p>
            <w:pPr>
              <w:widowControl/>
              <w:jc w:val="center"/>
              <w:textAlignment w:val="center"/>
              <w:rPr>
                <w:color w:val="000000"/>
                <w:sz w:val="22"/>
                <w:szCs w:val="22"/>
              </w:rPr>
            </w:pPr>
            <w:r>
              <w:rPr>
                <w:color w:val="000000"/>
                <w:kern w:val="0"/>
                <w:sz w:val="22"/>
                <w:szCs w:val="22"/>
                <w:lang w:bidi="ar"/>
              </w:rPr>
              <w:t>2847.955</w:t>
            </w:r>
          </w:p>
        </w:tc>
      </w:tr>
    </w:tbl>
    <w:p>
      <w:pPr>
        <w:spacing w:line="360" w:lineRule="auto"/>
        <w:ind w:firstLine="640" w:firstLineChars="200"/>
        <w:rPr>
          <w:rFonts w:eastAsia="仿宋_GB2312"/>
          <w:sz w:val="32"/>
          <w:szCs w:val="32"/>
          <w:highlight w:val="none"/>
        </w:rPr>
      </w:pPr>
      <w:r>
        <w:rPr>
          <w:rFonts w:eastAsia="仿宋_GB2312"/>
          <w:sz w:val="32"/>
          <w:szCs w:val="32"/>
        </w:rPr>
        <w:t>本项目资金支出为</w:t>
      </w:r>
      <w:r>
        <w:rPr>
          <w:rFonts w:eastAsia="仿宋_GB2312"/>
          <w:sz w:val="32"/>
          <w:szCs w:val="32"/>
          <w:highlight w:val="none"/>
        </w:rPr>
        <w:t>2847.955万元，资金支出率为91.87%，该指标得5.51分，扣0.49分。</w:t>
      </w:r>
    </w:p>
    <w:p>
      <w:pPr>
        <w:spacing w:line="360" w:lineRule="auto"/>
        <w:ind w:firstLine="640" w:firstLineChars="200"/>
        <w:rPr>
          <w:rFonts w:eastAsia="仿宋_GB2312"/>
          <w:sz w:val="32"/>
          <w:szCs w:val="32"/>
        </w:rPr>
      </w:pPr>
      <w:r>
        <w:rPr>
          <w:rFonts w:eastAsia="仿宋_GB2312"/>
          <w:sz w:val="32"/>
          <w:szCs w:val="32"/>
        </w:rPr>
        <w:t>（7）支出规范性。</w:t>
      </w:r>
    </w:p>
    <w:p>
      <w:pPr>
        <w:spacing w:line="360" w:lineRule="auto"/>
        <w:ind w:firstLine="640" w:firstLineChars="200"/>
        <w:rPr>
          <w:rFonts w:eastAsia="仿宋_GB2312"/>
          <w:sz w:val="32"/>
          <w:szCs w:val="32"/>
        </w:rPr>
      </w:pPr>
      <w:r>
        <w:rPr>
          <w:rFonts w:eastAsia="仿宋_GB2312"/>
          <w:sz w:val="32"/>
          <w:szCs w:val="32"/>
        </w:rPr>
        <w:t>1）本项目在执行过程中，均严格按照预算执行，没有进行预算调整。</w:t>
      </w:r>
    </w:p>
    <w:p>
      <w:pPr>
        <w:ind w:firstLine="640" w:firstLineChars="200"/>
        <w:rPr>
          <w:rFonts w:eastAsia="仿宋_GB2312"/>
          <w:sz w:val="32"/>
          <w:szCs w:val="32"/>
        </w:rPr>
      </w:pPr>
      <w:r>
        <w:rPr>
          <w:rFonts w:eastAsia="仿宋_GB2312"/>
          <w:sz w:val="32"/>
          <w:szCs w:val="32"/>
        </w:rPr>
        <w:t>2）事项支出的合规性：本项目委托外包，均签订合同，在资金支付的过程中，均严格依据合同约定，按照工作进度，在履行了相关手续后支付，事项支出的合规性良好。</w:t>
      </w:r>
    </w:p>
    <w:p>
      <w:pPr>
        <w:ind w:firstLine="640" w:firstLineChars="200"/>
        <w:rPr>
          <w:rFonts w:eastAsia="仿宋_GB2312"/>
          <w:sz w:val="32"/>
          <w:szCs w:val="32"/>
        </w:rPr>
      </w:pPr>
      <w:r>
        <w:rPr>
          <w:rFonts w:eastAsia="仿宋_GB2312"/>
          <w:sz w:val="32"/>
          <w:szCs w:val="32"/>
        </w:rPr>
        <w:t>3）会计核算的规范性：本项目会计核算均严格按照资金下达文件的要求进行，其中省本级支出的政府预算经济分类科目列“50502商品和服务支出”，部门预算经济分类科目列“30299其他商品和服务支出”。</w:t>
      </w:r>
    </w:p>
    <w:p>
      <w:pPr>
        <w:pStyle w:val="2"/>
        <w:ind w:firstLine="640"/>
      </w:pPr>
      <w:r>
        <w:rPr>
          <w:rFonts w:hint="eastAsia" w:ascii="Times New Roman" w:hAnsi="Times New Roman"/>
          <w:b w:val="0"/>
          <w:bCs w:val="0"/>
        </w:rPr>
        <w:t>该指标自评分值6分，自评得分6分。</w:t>
      </w:r>
    </w:p>
    <w:p>
      <w:pPr>
        <w:spacing w:line="360" w:lineRule="auto"/>
        <w:ind w:firstLine="640" w:firstLineChars="200"/>
        <w:rPr>
          <w:rFonts w:eastAsia="仿宋_GB2312"/>
          <w:sz w:val="32"/>
          <w:szCs w:val="32"/>
        </w:rPr>
      </w:pPr>
      <w:r>
        <w:rPr>
          <w:rFonts w:eastAsia="仿宋_GB2312"/>
          <w:sz w:val="32"/>
          <w:szCs w:val="32"/>
        </w:rPr>
        <w:t>（8）实施程序。</w:t>
      </w:r>
    </w:p>
    <w:p>
      <w:pPr>
        <w:spacing w:line="360" w:lineRule="auto"/>
        <w:ind w:firstLine="640" w:firstLineChars="200"/>
        <w:rPr>
          <w:rFonts w:eastAsia="仿宋_GB2312"/>
          <w:sz w:val="32"/>
          <w:szCs w:val="32"/>
        </w:rPr>
      </w:pPr>
      <w:r>
        <w:rPr>
          <w:rFonts w:eastAsia="仿宋_GB2312"/>
          <w:sz w:val="32"/>
          <w:szCs w:val="32"/>
        </w:rPr>
        <w:t>本项目的实施，均严格按照广东省自然资源厅以及广东省土地勘测规划研究院的管理制度执行，其执行程序见表5：</w:t>
      </w:r>
    </w:p>
    <w:p>
      <w:pPr>
        <w:jc w:val="center"/>
        <w:rPr>
          <w:rFonts w:eastAsia="黑体"/>
          <w:sz w:val="28"/>
          <w:szCs w:val="28"/>
        </w:rPr>
      </w:pPr>
    </w:p>
    <w:p>
      <w:pPr>
        <w:jc w:val="center"/>
        <w:rPr>
          <w:rFonts w:eastAsia="仿宋"/>
        </w:rPr>
      </w:pPr>
      <w:r>
        <w:rPr>
          <w:rFonts w:eastAsia="黑体"/>
          <w:sz w:val="28"/>
          <w:szCs w:val="28"/>
        </w:rPr>
        <w:t>表5   实施程序情况表</w:t>
      </w:r>
    </w:p>
    <w:tbl>
      <w:tblPr>
        <w:tblStyle w:val="15"/>
        <w:tblW w:w="8266" w:type="dxa"/>
        <w:tblInd w:w="0" w:type="dxa"/>
        <w:tblLayout w:type="fixed"/>
        <w:tblCellMar>
          <w:top w:w="0" w:type="dxa"/>
          <w:left w:w="0" w:type="dxa"/>
          <w:bottom w:w="0" w:type="dxa"/>
          <w:right w:w="0" w:type="dxa"/>
        </w:tblCellMar>
      </w:tblPr>
      <w:tblGrid>
        <w:gridCol w:w="819"/>
        <w:gridCol w:w="5058"/>
        <w:gridCol w:w="2389"/>
      </w:tblGrid>
      <w:tr>
        <w:tblPrEx>
          <w:tblLayout w:type="fixed"/>
          <w:tblCellMar>
            <w:top w:w="0" w:type="dxa"/>
            <w:left w:w="0" w:type="dxa"/>
            <w:bottom w:w="0" w:type="dxa"/>
            <w:right w:w="0" w:type="dxa"/>
          </w:tblCellMar>
        </w:tblPrEx>
        <w:trPr>
          <w:trHeight w:val="4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序号</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程  序</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佐证材料</w:t>
            </w:r>
          </w:p>
        </w:tc>
      </w:tr>
      <w:tr>
        <w:tblPrEx>
          <w:tblLayout w:type="fixed"/>
          <w:tblCellMar>
            <w:top w:w="0" w:type="dxa"/>
            <w:left w:w="0" w:type="dxa"/>
            <w:bottom w:w="0" w:type="dxa"/>
            <w:right w:w="0" w:type="dxa"/>
          </w:tblCellMar>
        </w:tblPrEx>
        <w:trPr>
          <w:trHeight w:val="474"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1</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广东省土地勘测规划研究院内部申报审批</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院会审表</w:t>
            </w:r>
          </w:p>
        </w:tc>
      </w:tr>
      <w:tr>
        <w:tblPrEx>
          <w:tblLayout w:type="fixed"/>
          <w:tblCellMar>
            <w:top w:w="0" w:type="dxa"/>
            <w:left w:w="0" w:type="dxa"/>
            <w:bottom w:w="0" w:type="dxa"/>
            <w:right w:w="0" w:type="dxa"/>
          </w:tblCellMar>
        </w:tblPrEx>
        <w:trPr>
          <w:trHeight w:val="41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2</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广东省土地勘测规划研究院报省自然资源厅审批</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院承诺书</w:t>
            </w:r>
          </w:p>
        </w:tc>
      </w:tr>
      <w:tr>
        <w:tblPrEx>
          <w:tblLayout w:type="fixed"/>
          <w:tblCellMar>
            <w:top w:w="0" w:type="dxa"/>
            <w:left w:w="0" w:type="dxa"/>
            <w:bottom w:w="0" w:type="dxa"/>
            <w:right w:w="0" w:type="dxa"/>
          </w:tblCellMar>
        </w:tblPrEx>
        <w:trPr>
          <w:trHeight w:val="542"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3</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广东省土地勘测规划研究院报省自然资源厅审批</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厅会审表</w:t>
            </w:r>
          </w:p>
        </w:tc>
      </w:tr>
      <w:tr>
        <w:tblPrEx>
          <w:tblLayout w:type="fixed"/>
          <w:tblCellMar>
            <w:top w:w="0" w:type="dxa"/>
            <w:left w:w="0" w:type="dxa"/>
            <w:bottom w:w="0" w:type="dxa"/>
            <w:right w:w="0" w:type="dxa"/>
          </w:tblCellMar>
        </w:tblPrEx>
        <w:trPr>
          <w:trHeight w:val="485"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4</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广东省土地勘测规划研究院内部编制采购计划</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院采购计划表</w:t>
            </w:r>
          </w:p>
        </w:tc>
      </w:tr>
      <w:tr>
        <w:tblPrEx>
          <w:tblLayout w:type="fixed"/>
          <w:tblCellMar>
            <w:top w:w="0" w:type="dxa"/>
            <w:left w:w="0" w:type="dxa"/>
            <w:bottom w:w="0" w:type="dxa"/>
            <w:right w:w="0" w:type="dxa"/>
          </w:tblCellMar>
        </w:tblPrEx>
        <w:trPr>
          <w:trHeight w:val="394"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5</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资金申请</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财厅资金批复文件</w:t>
            </w:r>
          </w:p>
        </w:tc>
      </w:tr>
      <w:tr>
        <w:tblPrEx>
          <w:tblLayout w:type="fixed"/>
          <w:tblCellMar>
            <w:top w:w="0" w:type="dxa"/>
            <w:left w:w="0" w:type="dxa"/>
            <w:bottom w:w="0" w:type="dxa"/>
            <w:right w:w="0" w:type="dxa"/>
          </w:tblCellMar>
        </w:tblPrEx>
        <w:trPr>
          <w:trHeight w:val="395"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6</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广东省土地勘测规划研究院采购计划申报</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财厅招标批准材料</w:t>
            </w:r>
          </w:p>
        </w:tc>
      </w:tr>
      <w:tr>
        <w:tblPrEx>
          <w:tblLayout w:type="fixed"/>
          <w:tblCellMar>
            <w:top w:w="0" w:type="dxa"/>
            <w:left w:w="0" w:type="dxa"/>
            <w:bottom w:w="0" w:type="dxa"/>
            <w:right w:w="0" w:type="dxa"/>
          </w:tblCellMar>
        </w:tblPrEx>
        <w:trPr>
          <w:trHeight w:val="477"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7</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广东省土地勘测规划研究院编制招标文件</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用户需求书</w:t>
            </w:r>
          </w:p>
        </w:tc>
      </w:tr>
      <w:tr>
        <w:tblPrEx>
          <w:tblLayout w:type="fixed"/>
          <w:tblCellMar>
            <w:top w:w="0" w:type="dxa"/>
            <w:left w:w="0" w:type="dxa"/>
            <w:bottom w:w="0" w:type="dxa"/>
            <w:right w:w="0" w:type="dxa"/>
          </w:tblCellMar>
        </w:tblPrEx>
        <w:trPr>
          <w:trHeight w:val="513"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8</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广东省土地勘测规划研究院编制招标文件</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评标方法及其它要求</w:t>
            </w:r>
          </w:p>
        </w:tc>
      </w:tr>
      <w:tr>
        <w:tblPrEx>
          <w:tblLayout w:type="fixed"/>
          <w:tblCellMar>
            <w:top w:w="0" w:type="dxa"/>
            <w:left w:w="0" w:type="dxa"/>
            <w:bottom w:w="0" w:type="dxa"/>
            <w:right w:w="0" w:type="dxa"/>
          </w:tblCellMar>
        </w:tblPrEx>
        <w:trPr>
          <w:trHeight w:val="577"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9</w:t>
            </w:r>
          </w:p>
        </w:tc>
        <w:tc>
          <w:tcPr>
            <w:tcW w:w="5058"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4"/>
              </w:rPr>
            </w:pPr>
            <w:r>
              <w:rPr>
                <w:rFonts w:eastAsia="仿宋_GB2312"/>
                <w:color w:val="000000"/>
                <w:kern w:val="0"/>
                <w:sz w:val="24"/>
                <w:lang w:bidi="ar"/>
              </w:rPr>
              <w:t>广东省土地勘测规划研究院编制招标文件</w:t>
            </w:r>
          </w:p>
        </w:tc>
        <w:tc>
          <w:tcPr>
            <w:tcW w:w="238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4"/>
              </w:rPr>
            </w:pPr>
            <w:r>
              <w:rPr>
                <w:rFonts w:eastAsia="仿宋_GB2312"/>
                <w:color w:val="000000"/>
                <w:kern w:val="0"/>
                <w:sz w:val="24"/>
                <w:lang w:bidi="ar"/>
              </w:rPr>
              <w:t>项目经费预算表</w:t>
            </w:r>
          </w:p>
        </w:tc>
      </w:tr>
    </w:tbl>
    <w:p/>
    <w:p>
      <w:pPr>
        <w:spacing w:line="360" w:lineRule="auto"/>
        <w:ind w:firstLine="640" w:firstLineChars="200"/>
        <w:rPr>
          <w:rFonts w:eastAsia="仿宋_GB2312"/>
          <w:sz w:val="32"/>
          <w:szCs w:val="32"/>
        </w:rPr>
      </w:pPr>
      <w:r>
        <w:rPr>
          <w:rFonts w:hint="eastAsia" w:eastAsia="仿宋_GB2312"/>
          <w:sz w:val="32"/>
          <w:szCs w:val="32"/>
        </w:rPr>
        <w:t>该指标分值4分，自评得分4分。</w:t>
      </w:r>
    </w:p>
    <w:p>
      <w:pPr>
        <w:spacing w:line="360" w:lineRule="auto"/>
        <w:ind w:firstLine="640" w:firstLineChars="200"/>
        <w:rPr>
          <w:rFonts w:eastAsia="仿宋_GB2312"/>
          <w:sz w:val="32"/>
          <w:szCs w:val="32"/>
        </w:rPr>
      </w:pPr>
      <w:r>
        <w:rPr>
          <w:rFonts w:eastAsia="仿宋_GB2312"/>
          <w:sz w:val="32"/>
          <w:szCs w:val="32"/>
        </w:rPr>
        <w:t>（9）管理情况。</w:t>
      </w:r>
    </w:p>
    <w:p>
      <w:pPr>
        <w:spacing w:line="360" w:lineRule="auto"/>
        <w:ind w:firstLine="640" w:firstLineChars="200"/>
        <w:rPr>
          <w:rFonts w:eastAsia="仿宋_GB2312"/>
          <w:sz w:val="32"/>
          <w:szCs w:val="32"/>
        </w:rPr>
      </w:pPr>
      <w:r>
        <w:rPr>
          <w:rFonts w:eastAsia="仿宋_GB2312"/>
          <w:sz w:val="32"/>
          <w:szCs w:val="32"/>
        </w:rPr>
        <w:t>广东省土地勘测规划研究院在项目开展过程中，对项目进行了严格的管理。</w:t>
      </w:r>
    </w:p>
    <w:p>
      <w:pPr>
        <w:spacing w:line="360" w:lineRule="auto"/>
        <w:ind w:firstLine="640" w:firstLineChars="200"/>
        <w:rPr>
          <w:rFonts w:eastAsia="仿宋_GB2312"/>
          <w:sz w:val="32"/>
          <w:szCs w:val="32"/>
        </w:rPr>
      </w:pPr>
      <w:r>
        <w:rPr>
          <w:rFonts w:eastAsia="仿宋_GB2312"/>
          <w:sz w:val="32"/>
          <w:szCs w:val="32"/>
        </w:rPr>
        <w:t>1）广东省国土空间规划（2020-2035年）：一是在招标前，通过专家咨询、论证的方式，对用户需求书、评分标准进行审核，以保证招标文件能够反映项目完成的需求。二是在招标后，按月进行工作总结、汇报，在分析已完成工作的基础上，明确下一步工作重点和需要解决的问题，详见表6：</w:t>
      </w:r>
    </w:p>
    <w:p>
      <w:pPr>
        <w:jc w:val="center"/>
        <w:rPr>
          <w:rFonts w:eastAsia="黑体"/>
          <w:sz w:val="28"/>
          <w:szCs w:val="28"/>
        </w:rPr>
      </w:pPr>
    </w:p>
    <w:p>
      <w:pPr>
        <w:jc w:val="center"/>
        <w:rPr>
          <w:rFonts w:eastAsia="黑体"/>
          <w:sz w:val="28"/>
          <w:szCs w:val="28"/>
        </w:rPr>
      </w:pPr>
      <w:r>
        <w:rPr>
          <w:rFonts w:eastAsia="黑体"/>
          <w:sz w:val="28"/>
          <w:szCs w:val="28"/>
        </w:rPr>
        <w:t>表6  广东省国土空间规划（2020-2035年）管理情况表</w:t>
      </w:r>
    </w:p>
    <w:tbl>
      <w:tblPr>
        <w:tblStyle w:val="15"/>
        <w:tblW w:w="8950" w:type="dxa"/>
        <w:tblInd w:w="-362" w:type="dxa"/>
        <w:tblLayout w:type="fixed"/>
        <w:tblCellMar>
          <w:top w:w="0" w:type="dxa"/>
          <w:left w:w="0" w:type="dxa"/>
          <w:bottom w:w="0" w:type="dxa"/>
          <w:right w:w="0" w:type="dxa"/>
        </w:tblCellMar>
      </w:tblPr>
      <w:tblGrid>
        <w:gridCol w:w="490"/>
        <w:gridCol w:w="700"/>
        <w:gridCol w:w="2184"/>
        <w:gridCol w:w="2700"/>
        <w:gridCol w:w="2876"/>
      </w:tblGrid>
      <w:tr>
        <w:tblPrEx>
          <w:tblLayout w:type="fixed"/>
          <w:tblCellMar>
            <w:top w:w="0" w:type="dxa"/>
            <w:left w:w="0" w:type="dxa"/>
            <w:bottom w:w="0" w:type="dxa"/>
            <w:right w:w="0" w:type="dxa"/>
          </w:tblCellMar>
        </w:tblPrEx>
        <w:trPr>
          <w:trHeight w:val="522"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序号</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时间</w:t>
            </w: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主要成果</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存在问题</w:t>
            </w:r>
          </w:p>
        </w:tc>
        <w:tc>
          <w:tcPr>
            <w:tcW w:w="287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下一步工作计划</w:t>
            </w:r>
          </w:p>
        </w:tc>
      </w:tr>
      <w:tr>
        <w:tblPrEx>
          <w:tblLayout w:type="fixed"/>
          <w:tblCellMar>
            <w:top w:w="0" w:type="dxa"/>
            <w:left w:w="0" w:type="dxa"/>
            <w:bottom w:w="0" w:type="dxa"/>
            <w:right w:w="0" w:type="dxa"/>
          </w:tblCellMar>
        </w:tblPrEx>
        <w:trPr>
          <w:trHeight w:val="2275"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1</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2019年7月</w:t>
            </w: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textAlignment w:val="center"/>
              <w:rPr>
                <w:rFonts w:eastAsia="仿宋_GB2312"/>
                <w:color w:val="000000"/>
                <w:sz w:val="20"/>
                <w:szCs w:val="20"/>
              </w:rPr>
            </w:pPr>
            <w:r>
              <w:rPr>
                <w:rFonts w:eastAsia="仿宋_GB2312"/>
                <w:color w:val="000000"/>
                <w:kern w:val="0"/>
                <w:sz w:val="20"/>
                <w:szCs w:val="20"/>
                <w:lang w:bidi="ar"/>
              </w:rPr>
              <w:t>形成文本初稿及土地利用现状图、城镇体系现状图、国土开发保护格局、生态格局、城镇农业生态三区、城镇开发边界、魅力空间布局等核心图纸。</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textAlignment w:val="center"/>
              <w:rPr>
                <w:rFonts w:eastAsia="仿宋_GB2312"/>
                <w:color w:val="000000"/>
                <w:sz w:val="20"/>
                <w:szCs w:val="20"/>
              </w:rPr>
            </w:pPr>
            <w:r>
              <w:rPr>
                <w:rFonts w:eastAsia="仿宋_GB2312"/>
                <w:color w:val="000000"/>
                <w:kern w:val="0"/>
                <w:sz w:val="20"/>
                <w:szCs w:val="20"/>
                <w:lang w:bidi="ar"/>
              </w:rPr>
              <w:t>一是项目组刚刚获取核心数据，需要尽快对数据进行分析处理，把规划基础做实。二是各专项进展和深度不一，应进一步加强各技术单位之间的技术统筹与工作衔接。</w:t>
            </w:r>
          </w:p>
        </w:tc>
        <w:tc>
          <w:tcPr>
            <w:tcW w:w="2876"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0"/>
                <w:szCs w:val="20"/>
              </w:rPr>
            </w:pPr>
            <w:r>
              <w:rPr>
                <w:rFonts w:eastAsia="仿宋_GB2312"/>
                <w:color w:val="000000"/>
                <w:kern w:val="0"/>
                <w:sz w:val="20"/>
                <w:szCs w:val="20"/>
                <w:lang w:bidi="ar"/>
              </w:rPr>
              <w:t>一是向马兴瑞省长及省委、省政府有关领导汇报广东省国土空间规划初步结论、工作进展和工作基础及下一步工作方向；二是赴广东省各地市开展调研，结合初步研究，了解现状、问题、诉求。</w:t>
            </w:r>
          </w:p>
        </w:tc>
      </w:tr>
      <w:tr>
        <w:tblPrEx>
          <w:tblLayout w:type="fixed"/>
          <w:tblCellMar>
            <w:top w:w="0" w:type="dxa"/>
            <w:left w:w="0" w:type="dxa"/>
            <w:bottom w:w="0" w:type="dxa"/>
            <w:right w:w="0" w:type="dxa"/>
          </w:tblCellMar>
        </w:tblPrEx>
        <w:trPr>
          <w:trHeight w:val="90"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2</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2019年8月</w:t>
            </w: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textAlignment w:val="center"/>
              <w:rPr>
                <w:rFonts w:eastAsia="仿宋_GB2312"/>
                <w:color w:val="000000"/>
                <w:sz w:val="20"/>
                <w:szCs w:val="20"/>
              </w:rPr>
            </w:pPr>
            <w:r>
              <w:rPr>
                <w:rFonts w:eastAsia="仿宋_GB2312"/>
                <w:color w:val="000000"/>
                <w:kern w:val="0"/>
                <w:sz w:val="20"/>
                <w:szCs w:val="20"/>
                <w:lang w:bidi="ar"/>
              </w:rPr>
              <w:t>形成《广东省三调初始成果分析报告》，包括数据统计说明、总体情况、与2017年度变更调查数据对比情况、与二调数据对比情况、与规划指标对比情况、人均指标情况、永久基本农田范围内现状地类情况等内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textAlignment w:val="center"/>
              <w:rPr>
                <w:rFonts w:eastAsia="仿宋_GB2312"/>
                <w:color w:val="000000"/>
                <w:sz w:val="20"/>
                <w:szCs w:val="20"/>
              </w:rPr>
            </w:pPr>
            <w:r>
              <w:rPr>
                <w:rFonts w:eastAsia="仿宋_GB2312"/>
                <w:color w:val="000000"/>
                <w:kern w:val="0"/>
                <w:sz w:val="20"/>
                <w:szCs w:val="20"/>
                <w:lang w:bidi="ar"/>
              </w:rPr>
              <w:t>一是目前处于大纲阶段，各项规划内容有待深化。二是部分专项内容相对薄弱。需补充深化生态修复、乡村振兴等相关内容的论述，进一步加强各专项进展和深度的统筹对接。</w:t>
            </w:r>
          </w:p>
        </w:tc>
        <w:tc>
          <w:tcPr>
            <w:tcW w:w="2876"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0"/>
                <w:szCs w:val="20"/>
              </w:rPr>
            </w:pPr>
            <w:r>
              <w:rPr>
                <w:rFonts w:eastAsia="仿宋_GB2312"/>
                <w:color w:val="000000"/>
                <w:kern w:val="0"/>
                <w:sz w:val="20"/>
                <w:szCs w:val="20"/>
                <w:lang w:bidi="ar"/>
              </w:rPr>
              <w:t>一是统筹各专题相关单位提交专题成果，结合专家咨询会意见、各处室反馈意见、地市调研成果，进一步深化规划内容，完善规划文本，形成规划图纸；二是梳理国土空间规划解决需要解决的重大问题，以及需要向国家争取支持的重大政策支持；三是提出当前规划编制过程中需要处领导、厅领导讨论决策的相关内容，</w:t>
            </w:r>
          </w:p>
        </w:tc>
      </w:tr>
      <w:tr>
        <w:tblPrEx>
          <w:tblLayout w:type="fixed"/>
          <w:tblCellMar>
            <w:top w:w="0" w:type="dxa"/>
            <w:left w:w="0" w:type="dxa"/>
            <w:bottom w:w="0" w:type="dxa"/>
            <w:right w:w="0" w:type="dxa"/>
          </w:tblCellMar>
        </w:tblPrEx>
        <w:trPr>
          <w:trHeight w:val="4096"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3</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2019年9月</w:t>
            </w: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ind w:firstLine="400" w:firstLineChars="200"/>
              <w:textAlignment w:val="center"/>
              <w:rPr>
                <w:rFonts w:eastAsia="仿宋_GB2312"/>
                <w:color w:val="000000"/>
                <w:sz w:val="20"/>
                <w:szCs w:val="20"/>
              </w:rPr>
            </w:pPr>
            <w:r>
              <w:rPr>
                <w:rFonts w:eastAsia="仿宋_GB2312"/>
                <w:color w:val="000000"/>
                <w:kern w:val="0"/>
                <w:sz w:val="20"/>
                <w:szCs w:val="20"/>
                <w:lang w:bidi="ar"/>
              </w:rPr>
              <w:t>形成《关于全省各市推进国土空间规划编制情况的调研报告》。形成《广东省国土空间规划（2020-2035年）》文本草稿</w:t>
            </w:r>
          </w:p>
        </w:tc>
        <w:tc>
          <w:tcPr>
            <w:tcW w:w="2700"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textAlignment w:val="center"/>
              <w:rPr>
                <w:rFonts w:eastAsia="仿宋_GB2312"/>
                <w:color w:val="000000"/>
                <w:sz w:val="20"/>
                <w:szCs w:val="20"/>
              </w:rPr>
            </w:pPr>
            <w:r>
              <w:rPr>
                <w:rFonts w:eastAsia="仿宋_GB2312"/>
                <w:color w:val="000000"/>
                <w:kern w:val="0"/>
                <w:sz w:val="20"/>
                <w:szCs w:val="20"/>
                <w:lang w:bidi="ar"/>
              </w:rPr>
              <w:t>一是需要结合专题成果进一步深化完善文本内容，补充重大项目保障、风险评估、政策评估等内容；二是思考如何体现新时期国土空间规划“管用、适用、好用”的要求，例如思考如何上下互动、如何协同对接试点、如何衔接专项规划及“十四五”规划；三是数据方面，探索如何将“三调”成果转化成为工作的前提和基础；</w:t>
            </w:r>
          </w:p>
        </w:tc>
        <w:tc>
          <w:tcPr>
            <w:tcW w:w="2876"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0"/>
                <w:szCs w:val="20"/>
              </w:rPr>
            </w:pPr>
            <w:r>
              <w:rPr>
                <w:rFonts w:eastAsia="仿宋_GB2312"/>
                <w:color w:val="000000"/>
                <w:kern w:val="0"/>
                <w:sz w:val="20"/>
                <w:szCs w:val="20"/>
                <w:lang w:bidi="ar"/>
              </w:rPr>
              <w:t>一是落实部省领导要求及工作会议意见，结合当前规划编制中发现的主要问题，按照“以行政带技术、以文本带专题”的工作思路，集中精力完善规划文本内容，优化文本表述；二是补充完善相关图件，充实文本内容，提升文本可读性；三是充分研究“三调”成果在规划编制中的应用；四是结合各地市报送的重大项目和重大平台建设需求，筛选纳入省级国土空间规划项目库，保障各地市重大项目和平台的资源配置。</w:t>
            </w:r>
          </w:p>
        </w:tc>
      </w:tr>
      <w:tr>
        <w:tblPrEx>
          <w:tblLayout w:type="fixed"/>
          <w:tblCellMar>
            <w:top w:w="0" w:type="dxa"/>
            <w:left w:w="0" w:type="dxa"/>
            <w:bottom w:w="0" w:type="dxa"/>
            <w:right w:w="0" w:type="dxa"/>
          </w:tblCellMar>
        </w:tblPrEx>
        <w:trPr>
          <w:trHeight w:val="3383" w:hRule="atLeast"/>
        </w:trPr>
        <w:tc>
          <w:tcPr>
            <w:tcW w:w="4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0"/>
                <w:szCs w:val="20"/>
              </w:rPr>
            </w:pPr>
            <w:r>
              <w:rPr>
                <w:rFonts w:eastAsia="仿宋_GB2312"/>
                <w:color w:val="000000"/>
                <w:kern w:val="0"/>
                <w:sz w:val="20"/>
                <w:szCs w:val="20"/>
                <w:lang w:bidi="ar"/>
              </w:rPr>
              <w:t>4</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right"/>
              <w:textAlignment w:val="center"/>
              <w:rPr>
                <w:rFonts w:eastAsia="仿宋_GB2312"/>
                <w:color w:val="000000"/>
                <w:sz w:val="20"/>
                <w:szCs w:val="20"/>
              </w:rPr>
            </w:pPr>
            <w:r>
              <w:rPr>
                <w:rFonts w:eastAsia="仿宋_GB2312"/>
                <w:color w:val="000000"/>
                <w:kern w:val="0"/>
                <w:sz w:val="20"/>
                <w:szCs w:val="20"/>
                <w:lang w:bidi="ar"/>
              </w:rPr>
              <w:t>2019年10月</w:t>
            </w:r>
          </w:p>
        </w:tc>
        <w:tc>
          <w:tcPr>
            <w:tcW w:w="218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textAlignment w:val="center"/>
              <w:rPr>
                <w:rFonts w:eastAsia="仿宋_GB2312"/>
                <w:color w:val="000000"/>
                <w:sz w:val="20"/>
                <w:szCs w:val="20"/>
              </w:rPr>
            </w:pPr>
            <w:r>
              <w:rPr>
                <w:rFonts w:eastAsia="仿宋_GB2312"/>
                <w:color w:val="000000"/>
                <w:kern w:val="0"/>
                <w:sz w:val="20"/>
                <w:szCs w:val="20"/>
                <w:lang w:bidi="ar"/>
              </w:rPr>
              <w:t>形成广东省国土空间规划文本大纲草稿；形成一套专题初步成果；</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ind w:firstLine="400" w:firstLineChars="200"/>
              <w:textAlignment w:val="center"/>
              <w:rPr>
                <w:rFonts w:eastAsia="仿宋_GB2312"/>
                <w:color w:val="000000"/>
                <w:sz w:val="20"/>
                <w:szCs w:val="20"/>
              </w:rPr>
            </w:pPr>
            <w:r>
              <w:rPr>
                <w:rFonts w:eastAsia="仿宋_GB2312"/>
                <w:color w:val="000000"/>
                <w:kern w:val="0"/>
                <w:sz w:val="20"/>
                <w:szCs w:val="20"/>
                <w:lang w:bidi="ar"/>
              </w:rPr>
              <w:t>一是文本大纲的指标、名录、政策性内容有待深化；二是需推进省市联动，充分听取各市发展诉求并纳入省级规划；三是部分专项内容有待加强</w:t>
            </w:r>
          </w:p>
        </w:tc>
        <w:tc>
          <w:tcPr>
            <w:tcW w:w="2876"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_GB2312"/>
                <w:color w:val="000000"/>
                <w:sz w:val="20"/>
                <w:szCs w:val="20"/>
              </w:rPr>
            </w:pPr>
            <w:r>
              <w:rPr>
                <w:rFonts w:eastAsia="仿宋_GB2312"/>
                <w:color w:val="000000"/>
                <w:kern w:val="0"/>
                <w:sz w:val="20"/>
                <w:szCs w:val="20"/>
                <w:lang w:bidi="ar"/>
              </w:rPr>
              <w:t>一是针对文本大纲的指标体系、各类要素布局方案、空间管控等重点内容进行深化完善；二是针对粤港澳大湾区背景下的珠三角国土空间优化与区域协同发展，新型城镇化战略下的广东省城镇（人口）、用地发展趋势和支撑关系研究等核心专题开展专家评审；</w:t>
            </w:r>
            <w:r>
              <w:rPr>
                <w:rFonts w:eastAsia="仿宋_GB2312"/>
                <w:color w:val="000000"/>
                <w:kern w:val="0"/>
                <w:sz w:val="20"/>
                <w:szCs w:val="20"/>
                <w:lang w:bidi="ar"/>
              </w:rPr>
              <w:br w:type="textWrapping"/>
            </w:r>
            <w:r>
              <w:rPr>
                <w:rFonts w:eastAsia="仿宋_GB2312"/>
                <w:color w:val="000000"/>
                <w:kern w:val="0"/>
                <w:sz w:val="20"/>
                <w:szCs w:val="20"/>
                <w:lang w:bidi="ar"/>
              </w:rPr>
              <w:t>三是推进省市联动梳理地方发展诉求并纳入省级规划；</w:t>
            </w:r>
          </w:p>
        </w:tc>
      </w:tr>
    </w:tbl>
    <w:p/>
    <w:p>
      <w:pPr>
        <w:spacing w:line="360" w:lineRule="auto"/>
        <w:rPr>
          <w:rFonts w:eastAsia="仿宋_GB2312"/>
          <w:sz w:val="32"/>
          <w:szCs w:val="32"/>
        </w:rPr>
      </w:pPr>
    </w:p>
    <w:p>
      <w:pPr>
        <w:spacing w:line="360" w:lineRule="auto"/>
        <w:ind w:firstLine="640" w:firstLineChars="200"/>
        <w:rPr>
          <w:rFonts w:eastAsia="仿宋_GB2312"/>
          <w:sz w:val="32"/>
          <w:szCs w:val="32"/>
        </w:rPr>
      </w:pPr>
      <w:r>
        <w:rPr>
          <w:rFonts w:hint="eastAsia" w:eastAsia="仿宋_GB2312"/>
          <w:sz w:val="32"/>
          <w:szCs w:val="32"/>
        </w:rPr>
        <w:t>2）</w:t>
      </w:r>
      <w:r>
        <w:rPr>
          <w:rFonts w:eastAsia="仿宋_GB2312"/>
          <w:sz w:val="32"/>
          <w:szCs w:val="32"/>
        </w:rPr>
        <w:t>广东省国土空间规划“一张图”实施监督信息平台建设：本项目在开展前，与广东国地科技股份有限公司先签订了咨询及成果验证服务合同。合同要求一是开展广东省国土空间规划监测评估预警模型研究，二是为广东省国土空间规划“一张图”实施监督信息平台建设提供建议。</w:t>
      </w:r>
    </w:p>
    <w:p>
      <w:pPr>
        <w:spacing w:line="360" w:lineRule="auto"/>
        <w:ind w:firstLine="640" w:firstLineChars="200"/>
        <w:rPr>
          <w:rFonts w:eastAsia="仿宋_GB2312"/>
          <w:sz w:val="32"/>
          <w:szCs w:val="32"/>
        </w:rPr>
      </w:pPr>
      <w:r>
        <w:rPr>
          <w:rFonts w:eastAsia="仿宋_GB2312"/>
          <w:sz w:val="32"/>
          <w:szCs w:val="32"/>
        </w:rPr>
        <w:t>在系统建设前，进行了专家论证，其情况见表7：</w:t>
      </w:r>
    </w:p>
    <w:p>
      <w:pPr>
        <w:jc w:val="center"/>
        <w:rPr>
          <w:rFonts w:eastAsia="黑体"/>
          <w:sz w:val="28"/>
          <w:szCs w:val="28"/>
        </w:rPr>
      </w:pPr>
    </w:p>
    <w:p>
      <w:pPr>
        <w:pStyle w:val="2"/>
        <w:ind w:firstLine="643"/>
      </w:pPr>
    </w:p>
    <w:p>
      <w:pPr>
        <w:jc w:val="center"/>
        <w:rPr>
          <w:rFonts w:eastAsia="黑体"/>
          <w:sz w:val="28"/>
          <w:szCs w:val="28"/>
        </w:rPr>
      </w:pPr>
      <w:r>
        <w:rPr>
          <w:rFonts w:eastAsia="黑体"/>
          <w:sz w:val="28"/>
          <w:szCs w:val="28"/>
        </w:rPr>
        <w:t>表7   系统建设专家论证意见表</w:t>
      </w:r>
    </w:p>
    <w:tbl>
      <w:tblPr>
        <w:tblStyle w:val="15"/>
        <w:tblW w:w="9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728"/>
        <w:gridCol w:w="804"/>
        <w:gridCol w:w="4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0" w:hRule="atLeast"/>
        </w:trPr>
        <w:tc>
          <w:tcPr>
            <w:tcW w:w="534" w:type="dxa"/>
            <w:vAlign w:val="center"/>
          </w:tcPr>
          <w:p>
            <w:pPr>
              <w:jc w:val="center"/>
              <w:rPr>
                <w:rFonts w:eastAsia="黑体"/>
                <w:sz w:val="24"/>
              </w:rPr>
            </w:pPr>
            <w:r>
              <w:rPr>
                <w:rFonts w:eastAsia="黑体"/>
                <w:sz w:val="24"/>
              </w:rPr>
              <w:t>序号</w:t>
            </w:r>
          </w:p>
        </w:tc>
        <w:tc>
          <w:tcPr>
            <w:tcW w:w="3728" w:type="dxa"/>
            <w:vAlign w:val="center"/>
          </w:tcPr>
          <w:p>
            <w:pPr>
              <w:jc w:val="center"/>
              <w:rPr>
                <w:rFonts w:eastAsia="黑体"/>
                <w:sz w:val="24"/>
              </w:rPr>
            </w:pPr>
            <w:r>
              <w:rPr>
                <w:rFonts w:eastAsia="黑体"/>
                <w:sz w:val="24"/>
              </w:rPr>
              <w:t>专家建议</w:t>
            </w:r>
          </w:p>
        </w:tc>
        <w:tc>
          <w:tcPr>
            <w:tcW w:w="804" w:type="dxa"/>
            <w:vAlign w:val="center"/>
          </w:tcPr>
          <w:p>
            <w:pPr>
              <w:jc w:val="center"/>
              <w:rPr>
                <w:rFonts w:eastAsia="黑体"/>
                <w:sz w:val="24"/>
              </w:rPr>
            </w:pPr>
            <w:r>
              <w:rPr>
                <w:rFonts w:eastAsia="黑体"/>
                <w:sz w:val="24"/>
              </w:rPr>
              <w:t>采纳情况</w:t>
            </w:r>
          </w:p>
        </w:tc>
        <w:tc>
          <w:tcPr>
            <w:tcW w:w="4625" w:type="dxa"/>
            <w:vAlign w:val="center"/>
          </w:tcPr>
          <w:p>
            <w:pPr>
              <w:jc w:val="center"/>
              <w:rPr>
                <w:rFonts w:eastAsia="黑体"/>
                <w:sz w:val="24"/>
              </w:rPr>
            </w:pPr>
            <w:r>
              <w:rPr>
                <w:rFonts w:eastAsia="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2" w:hRule="atLeast"/>
        </w:trPr>
        <w:tc>
          <w:tcPr>
            <w:tcW w:w="534" w:type="dxa"/>
            <w:vAlign w:val="center"/>
          </w:tcPr>
          <w:p>
            <w:pPr>
              <w:jc w:val="center"/>
              <w:rPr>
                <w:rFonts w:eastAsia="仿宋"/>
                <w:sz w:val="24"/>
              </w:rPr>
            </w:pPr>
            <w:r>
              <w:rPr>
                <w:rFonts w:eastAsia="仿宋"/>
                <w:sz w:val="24"/>
              </w:rPr>
              <w:t>1</w:t>
            </w:r>
          </w:p>
        </w:tc>
        <w:tc>
          <w:tcPr>
            <w:tcW w:w="3728" w:type="dxa"/>
            <w:vAlign w:val="center"/>
          </w:tcPr>
          <w:p>
            <w:pPr>
              <w:rPr>
                <w:rFonts w:eastAsia="仿宋"/>
                <w:sz w:val="24"/>
              </w:rPr>
            </w:pPr>
            <w:r>
              <w:rPr>
                <w:rFonts w:eastAsia="仿宋"/>
                <w:sz w:val="24"/>
              </w:rPr>
              <w:t>供应商资格条件：建议增加专业相关资格条件</w:t>
            </w:r>
          </w:p>
        </w:tc>
        <w:tc>
          <w:tcPr>
            <w:tcW w:w="804" w:type="dxa"/>
            <w:vAlign w:val="center"/>
          </w:tcPr>
          <w:p>
            <w:pPr>
              <w:jc w:val="center"/>
              <w:rPr>
                <w:rFonts w:eastAsia="仿宋"/>
                <w:sz w:val="24"/>
              </w:rPr>
            </w:pPr>
            <w:r>
              <w:rPr>
                <w:rFonts w:eastAsia="仿宋"/>
                <w:sz w:val="24"/>
              </w:rPr>
              <w:t>未采纳</w:t>
            </w:r>
          </w:p>
        </w:tc>
        <w:tc>
          <w:tcPr>
            <w:tcW w:w="4625" w:type="dxa"/>
            <w:vAlign w:val="center"/>
          </w:tcPr>
          <w:p>
            <w:pPr>
              <w:rPr>
                <w:rFonts w:eastAsia="仿宋"/>
                <w:sz w:val="24"/>
              </w:rPr>
            </w:pPr>
            <w:r>
              <w:rPr>
                <w:rFonts w:eastAsia="仿宋"/>
                <w:sz w:val="24"/>
              </w:rPr>
              <w:t>国土空间规划监测评估预警系统建设是随国家机构改革产生的新事物，综合性更强，原有专业资格均不能涵盖其建设内容。本项目是试点项目，需要做到"公开、公平、公正、创新"，鼓励更多合格的供应商参与投标，故不宜设置专业相关资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3" w:hRule="atLeast"/>
        </w:trPr>
        <w:tc>
          <w:tcPr>
            <w:tcW w:w="534" w:type="dxa"/>
            <w:vAlign w:val="center"/>
          </w:tcPr>
          <w:p>
            <w:pPr>
              <w:jc w:val="center"/>
              <w:rPr>
                <w:rFonts w:eastAsia="仿宋"/>
                <w:sz w:val="24"/>
              </w:rPr>
            </w:pPr>
            <w:r>
              <w:rPr>
                <w:rFonts w:eastAsia="仿宋"/>
                <w:sz w:val="24"/>
              </w:rPr>
              <w:t>2</w:t>
            </w:r>
          </w:p>
        </w:tc>
        <w:tc>
          <w:tcPr>
            <w:tcW w:w="3728" w:type="dxa"/>
            <w:vAlign w:val="center"/>
          </w:tcPr>
          <w:p>
            <w:pPr>
              <w:rPr>
                <w:rFonts w:eastAsia="仿宋"/>
                <w:sz w:val="24"/>
              </w:rPr>
            </w:pPr>
            <w:r>
              <w:rPr>
                <w:rFonts w:eastAsia="仿宋"/>
                <w:sz w:val="24"/>
              </w:rPr>
              <w:t>“完成期：自合同签订之日起至2019年12月31日止”时间不明确，建议明确具体时间，如X个月</w:t>
            </w:r>
          </w:p>
        </w:tc>
        <w:tc>
          <w:tcPr>
            <w:tcW w:w="804" w:type="dxa"/>
            <w:vAlign w:val="center"/>
          </w:tcPr>
          <w:p>
            <w:pPr>
              <w:jc w:val="center"/>
              <w:rPr>
                <w:rFonts w:eastAsia="仿宋"/>
                <w:sz w:val="24"/>
              </w:rPr>
            </w:pPr>
            <w:r>
              <w:rPr>
                <w:rFonts w:eastAsia="仿宋"/>
                <w:sz w:val="24"/>
              </w:rPr>
              <w:t>采纳</w:t>
            </w:r>
          </w:p>
        </w:tc>
        <w:tc>
          <w:tcPr>
            <w:tcW w:w="4625" w:type="dxa"/>
            <w:vAlign w:val="center"/>
          </w:tcPr>
          <w:p>
            <w:pPr>
              <w:rPr>
                <w:rFonts w:eastAsia="仿宋"/>
                <w:sz w:val="24"/>
              </w:rPr>
            </w:pPr>
            <w:r>
              <w:rPr>
                <w:rFonts w:eastAsia="仿宋"/>
                <w:sz w:val="24"/>
              </w:rPr>
              <w:t>需求书中已经调整完成期为“7个月”。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5" w:hRule="atLeast"/>
        </w:trPr>
        <w:tc>
          <w:tcPr>
            <w:tcW w:w="534" w:type="dxa"/>
            <w:vAlign w:val="center"/>
          </w:tcPr>
          <w:p>
            <w:pPr>
              <w:jc w:val="center"/>
              <w:rPr>
                <w:rFonts w:eastAsia="仿宋"/>
                <w:sz w:val="24"/>
              </w:rPr>
            </w:pPr>
            <w:r>
              <w:rPr>
                <w:rFonts w:eastAsia="仿宋"/>
                <w:sz w:val="24"/>
              </w:rPr>
              <w:t>3</w:t>
            </w:r>
          </w:p>
        </w:tc>
        <w:tc>
          <w:tcPr>
            <w:tcW w:w="3728" w:type="dxa"/>
            <w:vAlign w:val="center"/>
          </w:tcPr>
          <w:p>
            <w:pPr>
              <w:jc w:val="left"/>
              <w:rPr>
                <w:rFonts w:eastAsia="仿宋"/>
                <w:sz w:val="24"/>
              </w:rPr>
            </w:pPr>
            <w:r>
              <w:rPr>
                <w:rFonts w:eastAsia="仿宋"/>
                <w:sz w:val="24"/>
              </w:rPr>
              <w:t>建议用户需求书项目背景写得更加详细，对原有的建设系统，需系统建设新增的内容写明确、具体。</w:t>
            </w:r>
          </w:p>
        </w:tc>
        <w:tc>
          <w:tcPr>
            <w:tcW w:w="804" w:type="dxa"/>
            <w:vAlign w:val="center"/>
          </w:tcPr>
          <w:p>
            <w:pPr>
              <w:jc w:val="center"/>
              <w:rPr>
                <w:rFonts w:eastAsia="仿宋"/>
                <w:sz w:val="24"/>
              </w:rPr>
            </w:pPr>
            <w:r>
              <w:rPr>
                <w:rFonts w:eastAsia="仿宋"/>
                <w:sz w:val="24"/>
              </w:rPr>
              <w:t>采纳</w:t>
            </w:r>
          </w:p>
        </w:tc>
        <w:tc>
          <w:tcPr>
            <w:tcW w:w="4625" w:type="dxa"/>
            <w:vAlign w:val="center"/>
          </w:tcPr>
          <w:p>
            <w:pPr>
              <w:rPr>
                <w:rFonts w:eastAsia="仿宋"/>
                <w:sz w:val="24"/>
              </w:rPr>
            </w:pPr>
            <w:r>
              <w:rPr>
                <w:rFonts w:eastAsia="仿宋"/>
                <w:sz w:val="24"/>
              </w:rPr>
              <w:t>在用户需求书中细化了建设背景，并明确了需要新建的内容。在建设方案中也进行了细化。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1" w:hRule="atLeast"/>
        </w:trPr>
        <w:tc>
          <w:tcPr>
            <w:tcW w:w="534" w:type="dxa"/>
            <w:vAlign w:val="center"/>
          </w:tcPr>
          <w:p>
            <w:pPr>
              <w:jc w:val="center"/>
              <w:rPr>
                <w:rFonts w:eastAsia="仿宋"/>
                <w:sz w:val="24"/>
              </w:rPr>
            </w:pPr>
            <w:r>
              <w:rPr>
                <w:rFonts w:eastAsia="仿宋"/>
                <w:sz w:val="24"/>
              </w:rPr>
              <w:t>4</w:t>
            </w:r>
          </w:p>
        </w:tc>
        <w:tc>
          <w:tcPr>
            <w:tcW w:w="3728" w:type="dxa"/>
            <w:vAlign w:val="center"/>
          </w:tcPr>
          <w:p>
            <w:pPr>
              <w:jc w:val="left"/>
              <w:rPr>
                <w:rFonts w:eastAsia="仿宋"/>
                <w:sz w:val="24"/>
              </w:rPr>
            </w:pPr>
            <w:r>
              <w:rPr>
                <w:rFonts w:eastAsia="仿宋"/>
                <w:sz w:val="24"/>
              </w:rPr>
              <w:t>对预算“系统研发劳务费”和“系统部署劳务费”提供依据，以免重复建设。</w:t>
            </w:r>
          </w:p>
        </w:tc>
        <w:tc>
          <w:tcPr>
            <w:tcW w:w="804" w:type="dxa"/>
            <w:vAlign w:val="center"/>
          </w:tcPr>
          <w:p>
            <w:pPr>
              <w:jc w:val="center"/>
              <w:rPr>
                <w:rFonts w:eastAsia="仿宋"/>
                <w:sz w:val="24"/>
              </w:rPr>
            </w:pPr>
            <w:r>
              <w:rPr>
                <w:rFonts w:eastAsia="仿宋"/>
                <w:sz w:val="24"/>
              </w:rPr>
              <w:t>采纳</w:t>
            </w:r>
          </w:p>
        </w:tc>
        <w:tc>
          <w:tcPr>
            <w:tcW w:w="4625" w:type="dxa"/>
            <w:vAlign w:val="center"/>
          </w:tcPr>
          <w:p>
            <w:pPr>
              <w:rPr>
                <w:rFonts w:eastAsia="仿宋"/>
                <w:sz w:val="24"/>
              </w:rPr>
            </w:pPr>
            <w:r>
              <w:rPr>
                <w:rFonts w:eastAsia="仿宋"/>
                <w:sz w:val="24"/>
              </w:rPr>
              <w:t>经核实，这两部分预算没有重复，已在预算说明中对这两部分进行细化说明。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1" w:hRule="atLeast"/>
        </w:trPr>
        <w:tc>
          <w:tcPr>
            <w:tcW w:w="534" w:type="dxa"/>
            <w:vAlign w:val="center"/>
          </w:tcPr>
          <w:p>
            <w:pPr>
              <w:jc w:val="center"/>
              <w:rPr>
                <w:rFonts w:eastAsia="仿宋"/>
                <w:sz w:val="24"/>
              </w:rPr>
            </w:pPr>
            <w:r>
              <w:rPr>
                <w:rFonts w:eastAsia="仿宋"/>
                <w:sz w:val="24"/>
              </w:rPr>
              <w:t>5</w:t>
            </w:r>
          </w:p>
        </w:tc>
        <w:tc>
          <w:tcPr>
            <w:tcW w:w="3728" w:type="dxa"/>
            <w:vAlign w:val="center"/>
          </w:tcPr>
          <w:p>
            <w:pPr>
              <w:jc w:val="left"/>
              <w:rPr>
                <w:rFonts w:eastAsia="仿宋"/>
                <w:sz w:val="24"/>
              </w:rPr>
            </w:pPr>
            <w:r>
              <w:rPr>
                <w:rFonts w:eastAsia="仿宋"/>
                <w:sz w:val="24"/>
              </w:rPr>
              <w:t>衔接做好系统数据共享、数据更新的机制搭建，确保系统全流程设计、维护，科学性到位、实用性到位。</w:t>
            </w:r>
          </w:p>
        </w:tc>
        <w:tc>
          <w:tcPr>
            <w:tcW w:w="804" w:type="dxa"/>
            <w:vAlign w:val="center"/>
          </w:tcPr>
          <w:p>
            <w:pPr>
              <w:jc w:val="center"/>
              <w:rPr>
                <w:rFonts w:eastAsia="仿宋"/>
                <w:sz w:val="24"/>
              </w:rPr>
            </w:pPr>
            <w:r>
              <w:rPr>
                <w:rFonts w:eastAsia="仿宋"/>
                <w:sz w:val="24"/>
              </w:rPr>
              <w:t>采纳</w:t>
            </w:r>
          </w:p>
        </w:tc>
        <w:tc>
          <w:tcPr>
            <w:tcW w:w="4625" w:type="dxa"/>
            <w:vAlign w:val="center"/>
          </w:tcPr>
          <w:p>
            <w:pPr>
              <w:rPr>
                <w:rFonts w:eastAsia="仿宋"/>
                <w:sz w:val="24"/>
              </w:rPr>
            </w:pPr>
            <w:r>
              <w:rPr>
                <w:rFonts w:eastAsia="仿宋"/>
                <w:sz w:val="24"/>
              </w:rPr>
              <w:t>已经根据此意见完善系统建设规划实施安排和系统建设方案。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8" w:hRule="atLeast"/>
        </w:trPr>
        <w:tc>
          <w:tcPr>
            <w:tcW w:w="534" w:type="dxa"/>
            <w:vAlign w:val="center"/>
          </w:tcPr>
          <w:p>
            <w:pPr>
              <w:jc w:val="center"/>
              <w:rPr>
                <w:rFonts w:eastAsia="仿宋"/>
                <w:sz w:val="24"/>
              </w:rPr>
            </w:pPr>
            <w:r>
              <w:rPr>
                <w:rFonts w:eastAsia="仿宋"/>
                <w:sz w:val="24"/>
              </w:rPr>
              <w:t>6</w:t>
            </w:r>
          </w:p>
        </w:tc>
        <w:tc>
          <w:tcPr>
            <w:tcW w:w="3728" w:type="dxa"/>
            <w:vAlign w:val="center"/>
          </w:tcPr>
          <w:p>
            <w:pPr>
              <w:jc w:val="left"/>
              <w:rPr>
                <w:rFonts w:eastAsia="仿宋"/>
                <w:sz w:val="24"/>
              </w:rPr>
            </w:pPr>
            <w:r>
              <w:rPr>
                <w:rFonts w:eastAsia="仿宋"/>
                <w:sz w:val="24"/>
              </w:rPr>
              <w:t>项目经费预算基本是人力成本计算，应增加有关预算定额依据。</w:t>
            </w:r>
          </w:p>
        </w:tc>
        <w:tc>
          <w:tcPr>
            <w:tcW w:w="804" w:type="dxa"/>
            <w:vAlign w:val="center"/>
          </w:tcPr>
          <w:p>
            <w:pPr>
              <w:jc w:val="center"/>
              <w:rPr>
                <w:rFonts w:eastAsia="仿宋"/>
                <w:sz w:val="24"/>
              </w:rPr>
            </w:pPr>
            <w:r>
              <w:rPr>
                <w:rFonts w:eastAsia="仿宋"/>
                <w:sz w:val="24"/>
              </w:rPr>
              <w:t>采纳</w:t>
            </w:r>
          </w:p>
        </w:tc>
        <w:tc>
          <w:tcPr>
            <w:tcW w:w="4625" w:type="dxa"/>
            <w:vAlign w:val="center"/>
          </w:tcPr>
          <w:p>
            <w:pPr>
              <w:rPr>
                <w:rFonts w:eastAsia="仿宋"/>
                <w:sz w:val="24"/>
              </w:rPr>
            </w:pPr>
            <w:r>
              <w:rPr>
                <w:rFonts w:eastAsia="仿宋"/>
                <w:sz w:val="24"/>
              </w:rPr>
              <w:t>完善了预算说明，主要依据是：中国国际工程咨询公司《投资项目经济咨询评估指南》《GB/T 36964-2018 软件工程开发成本度量规范》、工信部《中国软件行业基准数据》、省人社厅《2018年省人力资源市场工指导价位及行业成本信息》。</w:t>
            </w:r>
          </w:p>
        </w:tc>
      </w:tr>
    </w:tbl>
    <w:p>
      <w:pPr>
        <w:spacing w:line="360" w:lineRule="auto"/>
        <w:ind w:firstLine="640" w:firstLineChars="200"/>
        <w:rPr>
          <w:rFonts w:eastAsia="仿宋_GB2312"/>
          <w:sz w:val="32"/>
          <w:szCs w:val="32"/>
        </w:rPr>
      </w:pPr>
    </w:p>
    <w:p>
      <w:pPr>
        <w:spacing w:line="360" w:lineRule="auto"/>
        <w:ind w:firstLine="640" w:firstLineChars="200"/>
      </w:pPr>
      <w:r>
        <w:rPr>
          <w:rFonts w:eastAsia="仿宋_GB2312"/>
          <w:sz w:val="32"/>
          <w:szCs w:val="32"/>
        </w:rPr>
        <w:t>3）技术联盟：省本级空间规划600万元的费用主要用途如下：</w:t>
      </w:r>
    </w:p>
    <w:p>
      <w:pPr>
        <w:jc w:val="center"/>
        <w:rPr>
          <w:rFonts w:eastAsia="黑体"/>
          <w:sz w:val="28"/>
          <w:szCs w:val="28"/>
        </w:rPr>
      </w:pPr>
      <w:r>
        <w:rPr>
          <w:rFonts w:eastAsia="黑体"/>
          <w:sz w:val="28"/>
          <w:szCs w:val="28"/>
        </w:rPr>
        <w:t>表8    省本级空间规划经费开展项目情况表</w:t>
      </w:r>
    </w:p>
    <w:p>
      <w:pPr>
        <w:jc w:val="right"/>
        <w:rPr>
          <w:rFonts w:eastAsia="仿宋_GB2312"/>
          <w:sz w:val="24"/>
        </w:rPr>
      </w:pPr>
      <w:r>
        <w:rPr>
          <w:rFonts w:eastAsia="仿宋_GB2312"/>
          <w:sz w:val="24"/>
        </w:rPr>
        <w:t>单位：万元</w:t>
      </w:r>
    </w:p>
    <w:tbl>
      <w:tblPr>
        <w:tblStyle w:val="15"/>
        <w:tblW w:w="8420" w:type="dxa"/>
        <w:tblInd w:w="0" w:type="dxa"/>
        <w:tblLayout w:type="fixed"/>
        <w:tblCellMar>
          <w:top w:w="0" w:type="dxa"/>
          <w:left w:w="0" w:type="dxa"/>
          <w:bottom w:w="0" w:type="dxa"/>
          <w:right w:w="0" w:type="dxa"/>
        </w:tblCellMar>
      </w:tblPr>
      <w:tblGrid>
        <w:gridCol w:w="624"/>
        <w:gridCol w:w="2064"/>
        <w:gridCol w:w="609"/>
        <w:gridCol w:w="1926"/>
        <w:gridCol w:w="2047"/>
        <w:gridCol w:w="1150"/>
      </w:tblGrid>
      <w:tr>
        <w:tblPrEx>
          <w:tblLayout w:type="fixed"/>
          <w:tblCellMar>
            <w:top w:w="0" w:type="dxa"/>
            <w:left w:w="0" w:type="dxa"/>
            <w:bottom w:w="0" w:type="dxa"/>
            <w:right w:w="0" w:type="dxa"/>
          </w:tblCellMar>
        </w:tblPrEx>
        <w:trPr>
          <w:trHeight w:val="62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序号</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项目名称</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金额</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合同签订时间</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完成时间</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承担单位</w:t>
            </w:r>
          </w:p>
        </w:tc>
      </w:tr>
      <w:tr>
        <w:tblPrEx>
          <w:tblLayout w:type="fixed"/>
          <w:tblCellMar>
            <w:top w:w="0" w:type="dxa"/>
            <w:left w:w="0" w:type="dxa"/>
            <w:bottom w:w="0" w:type="dxa"/>
            <w:right w:w="0" w:type="dxa"/>
          </w:tblCellMar>
        </w:tblPrEx>
        <w:trPr>
          <w:trHeight w:val="147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1</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“一核一带一区”区域发展新格局的国土空间响应编制服务</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49.8</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2019年5月29日</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2019年6月30日</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广州地理研究所</w:t>
            </w:r>
          </w:p>
        </w:tc>
      </w:tr>
      <w:tr>
        <w:tblPrEx>
          <w:tblLayout w:type="fixed"/>
          <w:tblCellMar>
            <w:top w:w="0" w:type="dxa"/>
            <w:left w:w="0" w:type="dxa"/>
            <w:bottom w:w="0" w:type="dxa"/>
            <w:right w:w="0" w:type="dxa"/>
          </w:tblCellMar>
        </w:tblPrEx>
        <w:trPr>
          <w:trHeight w:val="147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《粤港澳大湾区背景下的珠三角国土空间优化和区域协同发展》研究合同</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150</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2019年6月18日</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2019年10月30日</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广东省城乡规划设计研究院</w:t>
            </w:r>
          </w:p>
        </w:tc>
      </w:tr>
      <w:tr>
        <w:tblPrEx>
          <w:tblLayout w:type="fixed"/>
          <w:tblCellMar>
            <w:top w:w="0" w:type="dxa"/>
            <w:left w:w="0" w:type="dxa"/>
            <w:bottom w:w="0" w:type="dxa"/>
            <w:right w:w="0" w:type="dxa"/>
          </w:tblCellMar>
        </w:tblPrEx>
        <w:trPr>
          <w:trHeight w:val="147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3</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科学编制实施乡村规划促进乡村振兴研究合同</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49.8</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2019年8月22日</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2019年12月31日</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广州广智咨询有限公司</w:t>
            </w:r>
          </w:p>
        </w:tc>
      </w:tr>
      <w:tr>
        <w:tblPrEx>
          <w:tblLayout w:type="fixed"/>
          <w:tblCellMar>
            <w:top w:w="0" w:type="dxa"/>
            <w:left w:w="0" w:type="dxa"/>
            <w:bottom w:w="0" w:type="dxa"/>
            <w:right w:w="0" w:type="dxa"/>
          </w:tblCellMar>
        </w:tblPrEx>
        <w:trPr>
          <w:trHeight w:val="147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4</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广东省主体功能区分区优化及粤北生态发展区支持政策研究合同</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59.9</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2019年9月9日</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2019年12月31日</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粤港澳大湾区战略研究院</w:t>
            </w:r>
          </w:p>
        </w:tc>
      </w:tr>
      <w:tr>
        <w:tblPrEx>
          <w:tblLayout w:type="fixed"/>
          <w:tblCellMar>
            <w:top w:w="0" w:type="dxa"/>
            <w:left w:w="0" w:type="dxa"/>
            <w:bottom w:w="0" w:type="dxa"/>
            <w:right w:w="0" w:type="dxa"/>
          </w:tblCellMar>
        </w:tblPrEx>
        <w:trPr>
          <w:trHeight w:val="147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5</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规划修改流程优化及相关数据整理入库</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79.5</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2019年6月26日</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120天</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广州市阿尔法信息技术有限公司</w:t>
            </w:r>
          </w:p>
        </w:tc>
      </w:tr>
      <w:tr>
        <w:tblPrEx>
          <w:tblLayout w:type="fixed"/>
          <w:tblCellMar>
            <w:top w:w="0" w:type="dxa"/>
            <w:left w:w="0" w:type="dxa"/>
            <w:bottom w:w="0" w:type="dxa"/>
            <w:right w:w="0" w:type="dxa"/>
          </w:tblCellMar>
        </w:tblPrEx>
        <w:trPr>
          <w:trHeight w:val="147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6</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新型城镇化战略下的广东省城镇（人口）、用地发展趋势和支撑关系研究</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45</w:t>
            </w: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2019年5月29日</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2019年6月30日</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广东省城乡规划设计研究院</w:t>
            </w:r>
          </w:p>
        </w:tc>
      </w:tr>
      <w:tr>
        <w:tblPrEx>
          <w:tblLayout w:type="fixed"/>
          <w:tblCellMar>
            <w:top w:w="0" w:type="dxa"/>
            <w:left w:w="0" w:type="dxa"/>
            <w:bottom w:w="0" w:type="dxa"/>
            <w:right w:w="0" w:type="dxa"/>
          </w:tblCellMar>
        </w:tblPrEx>
        <w:trPr>
          <w:trHeight w:val="147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
                <w:color w:val="000000"/>
                <w:sz w:val="24"/>
              </w:rPr>
            </w:pPr>
            <w:r>
              <w:rPr>
                <w:rFonts w:eastAsia="仿宋"/>
                <w:color w:val="000000"/>
                <w:kern w:val="0"/>
                <w:sz w:val="24"/>
                <w:lang w:bidi="ar"/>
              </w:rPr>
              <w:t>7</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
                <w:color w:val="000000"/>
                <w:sz w:val="24"/>
              </w:rPr>
            </w:pPr>
            <w:r>
              <w:rPr>
                <w:rFonts w:eastAsia="仿宋"/>
                <w:color w:val="000000"/>
                <w:kern w:val="0"/>
                <w:sz w:val="24"/>
                <w:lang w:bidi="ar"/>
              </w:rPr>
              <w:t>广东省主体功能区分区优化及粤北生态发展区支持政策研究</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jc w:val="center"/>
              <w:rPr>
                <w:rFonts w:eastAsia="仿宋"/>
                <w:color w:val="000000"/>
                <w:sz w:val="24"/>
              </w:rPr>
            </w:pPr>
          </w:p>
        </w:tc>
        <w:tc>
          <w:tcPr>
            <w:tcW w:w="192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jc w:val="center"/>
              <w:rPr>
                <w:rFonts w:eastAsia="仿宋"/>
                <w:color w:val="000000"/>
                <w:sz w:val="24"/>
              </w:rPr>
            </w:pP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jc w:val="center"/>
              <w:rPr>
                <w:rFonts w:eastAsia="仿宋"/>
                <w:color w:val="000000"/>
                <w:sz w:val="24"/>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rPr>
                <w:rFonts w:eastAsia="仿宋"/>
                <w:color w:val="000000"/>
                <w:sz w:val="24"/>
              </w:rPr>
            </w:pPr>
          </w:p>
        </w:tc>
      </w:tr>
    </w:tbl>
    <w:p>
      <w:pPr>
        <w:ind w:firstLine="640" w:firstLineChars="200"/>
        <w:rPr>
          <w:rFonts w:eastAsia="仿宋_GB2312"/>
          <w:sz w:val="32"/>
          <w:szCs w:val="32"/>
        </w:rPr>
      </w:pPr>
      <w:r>
        <w:rPr>
          <w:rFonts w:eastAsia="仿宋_GB2312"/>
          <w:sz w:val="32"/>
          <w:szCs w:val="32"/>
        </w:rPr>
        <w:t>对以上专题研究建立了月报制度。在项目开展过程中，每月以月报的形式对项目开展情况进行汇报，并明确下一步的工作计划。</w:t>
      </w:r>
    </w:p>
    <w:p>
      <w:pPr>
        <w:ind w:firstLine="640" w:firstLineChars="200"/>
        <w:rPr>
          <w:rFonts w:eastAsia="仿宋_GB2312"/>
          <w:sz w:val="32"/>
          <w:szCs w:val="32"/>
        </w:rPr>
      </w:pPr>
      <w:r>
        <w:rPr>
          <w:rFonts w:eastAsia="仿宋_GB2312"/>
          <w:sz w:val="32"/>
          <w:szCs w:val="32"/>
        </w:rPr>
        <w:t>以上三项工作，均采用了严格的验收程序，对项目成果进行验收。</w:t>
      </w:r>
    </w:p>
    <w:p>
      <w:pPr>
        <w:pStyle w:val="2"/>
        <w:ind w:firstLine="640"/>
        <w:rPr>
          <w:rFonts w:ascii="Times New Roman" w:hAnsi="Times New Roman"/>
        </w:rPr>
      </w:pPr>
      <w:r>
        <w:rPr>
          <w:rFonts w:hint="eastAsia" w:ascii="Times New Roman" w:hAnsi="Times New Roman"/>
          <w:b w:val="0"/>
          <w:bCs w:val="0"/>
        </w:rPr>
        <w:t>该指标分值4分，自评得分4分。</w:t>
      </w:r>
    </w:p>
    <w:p/>
    <w:p>
      <w:pPr>
        <w:spacing w:line="360" w:lineRule="auto"/>
        <w:ind w:firstLine="640" w:firstLineChars="200"/>
        <w:rPr>
          <w:rFonts w:eastAsia="黑体"/>
          <w:sz w:val="10"/>
          <w:szCs w:val="10"/>
        </w:rPr>
      </w:pPr>
      <w:r>
        <w:rPr>
          <w:rFonts w:eastAsia="仿宋_GB2312"/>
          <w:sz w:val="32"/>
          <w:szCs w:val="32"/>
        </w:rPr>
        <w:t>（</w:t>
      </w:r>
      <w:r>
        <w:rPr>
          <w:rFonts w:hint="eastAsia"/>
          <w:sz w:val="32"/>
          <w:szCs w:val="32"/>
        </w:rPr>
        <w:t>10</w:t>
      </w:r>
      <w:r>
        <w:rPr>
          <w:rFonts w:eastAsia="仿宋_GB2312"/>
          <w:sz w:val="32"/>
          <w:szCs w:val="32"/>
        </w:rPr>
        <w:t>）经济性。</w:t>
      </w:r>
    </w:p>
    <w:p>
      <w:pPr>
        <w:spacing w:line="360" w:lineRule="auto"/>
        <w:ind w:firstLine="640" w:firstLineChars="200"/>
        <w:rPr>
          <w:rFonts w:eastAsia="仿宋_GB2312"/>
          <w:sz w:val="32"/>
          <w:szCs w:val="32"/>
        </w:rPr>
      </w:pPr>
      <w:r>
        <w:rPr>
          <w:rFonts w:hint="eastAsia" w:eastAsia="仿宋_GB2312"/>
          <w:sz w:val="32"/>
          <w:szCs w:val="32"/>
        </w:rPr>
        <w:t>本项目资金支出与项目进度，合同约定相匹配，项目通过政府采购开展，与其他省同类项目相比较，如四川省2019年19月开展的“四川省成都市规划和自然资源局国土空间规划“一张图”实施监督信息系统建设项目”经费为2150万元，2019年12月的“</w:t>
      </w:r>
      <w:r>
        <w:rPr>
          <w:rFonts w:eastAsia="仿宋_GB2312"/>
          <w:sz w:val="32"/>
          <w:szCs w:val="32"/>
        </w:rPr>
        <w:t>佛山市国土空间规划“一张图”实施监督信息系统建设</w:t>
      </w:r>
      <w:r>
        <w:rPr>
          <w:rFonts w:hint="eastAsia" w:eastAsia="仿宋_GB2312"/>
          <w:sz w:val="32"/>
          <w:szCs w:val="32"/>
        </w:rPr>
        <w:t>”经费为472万元，“四川省国土空间规划“一张图”实施监督信息系统(一期)”经费为518万元等。</w:t>
      </w:r>
    </w:p>
    <w:p>
      <w:pPr>
        <w:pStyle w:val="2"/>
        <w:ind w:firstLine="640"/>
        <w:rPr>
          <w:rFonts w:ascii="Times New Roman" w:hAnsi="Times New Roman"/>
          <w:b w:val="0"/>
          <w:bCs w:val="0"/>
          <w:kern w:val="2"/>
        </w:rPr>
      </w:pPr>
      <w:r>
        <w:rPr>
          <w:rFonts w:ascii="Times New Roman" w:hAnsi="Times New Roman"/>
          <w:b w:val="0"/>
          <w:bCs w:val="0"/>
          <w:kern w:val="2"/>
        </w:rPr>
        <w:t>广东省国土空间规划（2020-2035年）</w:t>
      </w:r>
      <w:r>
        <w:rPr>
          <w:rFonts w:hint="eastAsia" w:ascii="Times New Roman" w:hAnsi="Times New Roman"/>
          <w:b w:val="0"/>
          <w:bCs w:val="0"/>
          <w:kern w:val="2"/>
        </w:rPr>
        <w:t>全国同类相市场成交情况如下：</w:t>
      </w:r>
    </w:p>
    <w:p/>
    <w:p>
      <w:pPr>
        <w:pStyle w:val="2"/>
        <w:ind w:firstLine="0" w:firstLineChars="0"/>
        <w:jc w:val="center"/>
        <w:rPr>
          <w:rFonts w:ascii="黑体" w:hAnsi="黑体" w:eastAsia="黑体" w:cs="黑体"/>
          <w:b w:val="0"/>
          <w:bCs w:val="0"/>
          <w:kern w:val="2"/>
          <w:sz w:val="28"/>
          <w:szCs w:val="28"/>
        </w:rPr>
      </w:pPr>
      <w:r>
        <w:rPr>
          <w:rFonts w:hint="eastAsia" w:ascii="黑体" w:hAnsi="黑体" w:eastAsia="黑体" w:cs="黑体"/>
          <w:b w:val="0"/>
          <w:bCs w:val="0"/>
          <w:kern w:val="2"/>
          <w:sz w:val="28"/>
          <w:szCs w:val="28"/>
        </w:rPr>
        <w:t>表9   同类项目市场采购情况表</w:t>
      </w:r>
    </w:p>
    <w:tbl>
      <w:tblPr>
        <w:tblStyle w:val="16"/>
        <w:tblW w:w="8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4662"/>
        <w:gridCol w:w="2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82" w:type="dxa"/>
            <w:vAlign w:val="center"/>
          </w:tcPr>
          <w:p>
            <w:pPr>
              <w:jc w:val="center"/>
              <w:rPr>
                <w:sz w:val="28"/>
                <w:szCs w:val="28"/>
              </w:rPr>
            </w:pPr>
            <w:r>
              <w:rPr>
                <w:rFonts w:hint="eastAsia"/>
                <w:sz w:val="28"/>
                <w:szCs w:val="28"/>
              </w:rPr>
              <w:t>序号</w:t>
            </w:r>
          </w:p>
        </w:tc>
        <w:tc>
          <w:tcPr>
            <w:tcW w:w="4662" w:type="dxa"/>
            <w:vAlign w:val="center"/>
          </w:tcPr>
          <w:p>
            <w:pPr>
              <w:jc w:val="center"/>
              <w:rPr>
                <w:sz w:val="28"/>
                <w:szCs w:val="28"/>
              </w:rPr>
            </w:pPr>
            <w:r>
              <w:rPr>
                <w:rFonts w:hint="eastAsia"/>
                <w:sz w:val="28"/>
                <w:szCs w:val="28"/>
              </w:rPr>
              <w:t>项目名称</w:t>
            </w:r>
          </w:p>
        </w:tc>
        <w:tc>
          <w:tcPr>
            <w:tcW w:w="2822" w:type="dxa"/>
            <w:vAlign w:val="center"/>
          </w:tcPr>
          <w:p>
            <w:pPr>
              <w:jc w:val="center"/>
              <w:rPr>
                <w:sz w:val="28"/>
                <w:szCs w:val="28"/>
              </w:rPr>
            </w:pPr>
            <w:r>
              <w:rPr>
                <w:rFonts w:hint="eastAsia"/>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982" w:type="dxa"/>
            <w:vAlign w:val="center"/>
          </w:tcPr>
          <w:p>
            <w:pPr>
              <w:jc w:val="center"/>
              <w:rPr>
                <w:rFonts w:ascii="仿宋" w:hAnsi="仿宋" w:eastAsia="仿宋" w:cs="仿宋"/>
                <w:sz w:val="24"/>
              </w:rPr>
            </w:pPr>
            <w:r>
              <w:rPr>
                <w:rFonts w:hint="eastAsia" w:ascii="仿宋" w:hAnsi="仿宋" w:eastAsia="仿宋" w:cs="仿宋"/>
                <w:sz w:val="24"/>
              </w:rPr>
              <w:t>1</w:t>
            </w:r>
          </w:p>
        </w:tc>
        <w:tc>
          <w:tcPr>
            <w:tcW w:w="4662" w:type="dxa"/>
            <w:vAlign w:val="center"/>
          </w:tcPr>
          <w:p>
            <w:pPr>
              <w:pStyle w:val="4"/>
              <w:keepNext w:val="0"/>
              <w:keepLines w:val="0"/>
              <w:widowControl/>
              <w:shd w:val="clear" w:color="auto" w:fill="FFFFFF"/>
              <w:spacing w:before="0" w:after="0"/>
              <w:jc w:val="left"/>
              <w:rPr>
                <w:rFonts w:ascii="仿宋" w:hAnsi="仿宋" w:eastAsia="仿宋" w:cs="仿宋"/>
                <w:b w:val="0"/>
                <w:sz w:val="24"/>
              </w:rPr>
            </w:pPr>
            <w:r>
              <w:rPr>
                <w:rFonts w:hint="eastAsia" w:ascii="仿宋" w:hAnsi="仿宋" w:eastAsia="仿宋" w:cs="仿宋"/>
                <w:b w:val="0"/>
                <w:sz w:val="24"/>
              </w:rPr>
              <w:t>河北省国土空间规划（2019-2035）</w:t>
            </w:r>
          </w:p>
        </w:tc>
        <w:tc>
          <w:tcPr>
            <w:tcW w:w="2822" w:type="dxa"/>
            <w:vAlign w:val="center"/>
          </w:tcPr>
          <w:p>
            <w:pPr>
              <w:jc w:val="center"/>
              <w:rPr>
                <w:rFonts w:ascii="仿宋" w:hAnsi="仿宋" w:eastAsia="仿宋" w:cs="仿宋"/>
                <w:sz w:val="24"/>
              </w:rPr>
            </w:pPr>
            <w:r>
              <w:rPr>
                <w:rFonts w:hint="eastAsia" w:ascii="仿宋" w:hAnsi="仿宋" w:eastAsia="仿宋" w:cs="仿宋"/>
                <w:sz w:val="24"/>
              </w:rPr>
              <w:t>2208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8" w:hRule="atLeast"/>
        </w:trPr>
        <w:tc>
          <w:tcPr>
            <w:tcW w:w="982" w:type="dxa"/>
            <w:vAlign w:val="center"/>
          </w:tcPr>
          <w:p>
            <w:pPr>
              <w:jc w:val="center"/>
              <w:rPr>
                <w:rFonts w:ascii="仿宋" w:hAnsi="仿宋" w:eastAsia="仿宋" w:cs="仿宋"/>
                <w:sz w:val="24"/>
              </w:rPr>
            </w:pPr>
            <w:r>
              <w:rPr>
                <w:rFonts w:hint="eastAsia" w:ascii="仿宋" w:hAnsi="仿宋" w:eastAsia="仿宋" w:cs="仿宋"/>
                <w:sz w:val="24"/>
              </w:rPr>
              <w:t>2</w:t>
            </w:r>
          </w:p>
        </w:tc>
        <w:tc>
          <w:tcPr>
            <w:tcW w:w="4662" w:type="dxa"/>
            <w:vAlign w:val="center"/>
          </w:tcPr>
          <w:p>
            <w:pPr>
              <w:pStyle w:val="4"/>
              <w:keepNext w:val="0"/>
              <w:keepLines w:val="0"/>
              <w:widowControl/>
              <w:shd w:val="clear" w:color="auto" w:fill="FFFFFF"/>
              <w:spacing w:before="0" w:after="0"/>
              <w:jc w:val="left"/>
              <w:rPr>
                <w:rFonts w:ascii="仿宋" w:hAnsi="仿宋" w:eastAsia="仿宋" w:cs="仿宋"/>
                <w:b w:val="0"/>
                <w:sz w:val="24"/>
              </w:rPr>
            </w:pPr>
            <w:r>
              <w:rPr>
                <w:rFonts w:hint="eastAsia" w:ascii="仿宋" w:hAnsi="仿宋" w:eastAsia="仿宋" w:cs="仿宋"/>
                <w:b w:val="0"/>
                <w:sz w:val="24"/>
              </w:rPr>
              <w:t>甘肃省国土空间规划2020-2035年</w:t>
            </w:r>
          </w:p>
        </w:tc>
        <w:tc>
          <w:tcPr>
            <w:tcW w:w="2822" w:type="dxa"/>
            <w:vAlign w:val="center"/>
          </w:tcPr>
          <w:p>
            <w:pPr>
              <w:jc w:val="center"/>
              <w:rPr>
                <w:rFonts w:ascii="仿宋" w:hAnsi="仿宋" w:eastAsia="仿宋" w:cs="仿宋"/>
                <w:sz w:val="24"/>
              </w:rPr>
            </w:pPr>
            <w:r>
              <w:rPr>
                <w:rFonts w:hint="eastAsia" w:ascii="仿宋" w:hAnsi="仿宋" w:eastAsia="仿宋" w:cs="仿宋"/>
                <w:sz w:val="24"/>
              </w:rPr>
              <w:t>1945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982" w:type="dxa"/>
            <w:vAlign w:val="center"/>
          </w:tcPr>
          <w:p>
            <w:pPr>
              <w:jc w:val="center"/>
              <w:rPr>
                <w:rFonts w:ascii="仿宋" w:hAnsi="仿宋" w:eastAsia="仿宋" w:cs="仿宋"/>
                <w:sz w:val="24"/>
              </w:rPr>
            </w:pPr>
            <w:r>
              <w:rPr>
                <w:rFonts w:hint="eastAsia" w:ascii="仿宋" w:hAnsi="仿宋" w:eastAsia="仿宋" w:cs="仿宋"/>
                <w:sz w:val="24"/>
              </w:rPr>
              <w:t>3</w:t>
            </w:r>
          </w:p>
        </w:tc>
        <w:tc>
          <w:tcPr>
            <w:tcW w:w="4662" w:type="dxa"/>
            <w:vAlign w:val="center"/>
          </w:tcPr>
          <w:p>
            <w:pPr>
              <w:pStyle w:val="4"/>
              <w:keepNext w:val="0"/>
              <w:keepLines w:val="0"/>
              <w:widowControl/>
              <w:shd w:val="clear" w:color="auto" w:fill="FFFFFF"/>
              <w:spacing w:before="225" w:after="150" w:line="270" w:lineRule="atLeast"/>
              <w:textAlignment w:val="baseline"/>
              <w:rPr>
                <w:rFonts w:ascii="仿宋" w:hAnsi="仿宋" w:eastAsia="仿宋" w:cs="仿宋"/>
                <w:b w:val="0"/>
                <w:sz w:val="24"/>
              </w:rPr>
            </w:pPr>
            <w:r>
              <w:rPr>
                <w:rFonts w:hint="eastAsia" w:ascii="仿宋" w:hAnsi="仿宋" w:eastAsia="仿宋" w:cs="仿宋"/>
                <w:b w:val="0"/>
                <w:sz w:val="24"/>
                <w:shd w:val="clear" w:color="auto" w:fill="FFFFFF"/>
              </w:rPr>
              <w:t>福建省级国土空间规划（2020-2035年）</w:t>
            </w:r>
          </w:p>
        </w:tc>
        <w:tc>
          <w:tcPr>
            <w:tcW w:w="2822" w:type="dxa"/>
            <w:vAlign w:val="center"/>
          </w:tcPr>
          <w:p>
            <w:pPr>
              <w:jc w:val="center"/>
              <w:rPr>
                <w:rFonts w:ascii="仿宋" w:hAnsi="仿宋" w:eastAsia="仿宋" w:cs="仿宋"/>
                <w:sz w:val="24"/>
              </w:rPr>
            </w:pPr>
            <w:r>
              <w:rPr>
                <w:rFonts w:hint="eastAsia" w:ascii="仿宋" w:hAnsi="仿宋" w:eastAsia="仿宋" w:cs="仿宋"/>
                <w:sz w:val="24"/>
              </w:rPr>
              <w:t>1190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9" w:hRule="atLeast"/>
        </w:trPr>
        <w:tc>
          <w:tcPr>
            <w:tcW w:w="982" w:type="dxa"/>
            <w:vAlign w:val="center"/>
          </w:tcPr>
          <w:p>
            <w:pPr>
              <w:jc w:val="center"/>
              <w:rPr>
                <w:rFonts w:ascii="仿宋" w:hAnsi="仿宋" w:eastAsia="仿宋" w:cs="仿宋"/>
                <w:sz w:val="24"/>
              </w:rPr>
            </w:pPr>
            <w:r>
              <w:rPr>
                <w:rFonts w:hint="eastAsia" w:ascii="仿宋" w:hAnsi="仿宋" w:eastAsia="仿宋" w:cs="仿宋"/>
                <w:sz w:val="24"/>
              </w:rPr>
              <w:t>4</w:t>
            </w:r>
          </w:p>
        </w:tc>
        <w:tc>
          <w:tcPr>
            <w:tcW w:w="4662" w:type="dxa"/>
            <w:vAlign w:val="center"/>
          </w:tcPr>
          <w:p>
            <w:pPr>
              <w:pStyle w:val="4"/>
              <w:keepNext w:val="0"/>
              <w:keepLines w:val="0"/>
              <w:widowControl/>
              <w:shd w:val="clear" w:color="auto" w:fill="FFFFFF"/>
              <w:spacing w:before="225" w:after="150" w:line="270" w:lineRule="atLeast"/>
              <w:textAlignment w:val="baseline"/>
              <w:rPr>
                <w:rFonts w:ascii="仿宋" w:hAnsi="仿宋" w:eastAsia="仿宋" w:cs="仿宋"/>
                <w:b w:val="0"/>
                <w:sz w:val="24"/>
              </w:rPr>
            </w:pPr>
            <w:r>
              <w:rPr>
                <w:rFonts w:hint="eastAsia" w:ascii="仿宋" w:hAnsi="仿宋" w:eastAsia="仿宋" w:cs="仿宋"/>
                <w:b w:val="0"/>
                <w:sz w:val="24"/>
                <w:shd w:val="clear" w:color="auto" w:fill="FFFFFF"/>
              </w:rPr>
              <w:t>惠州市自然资源局国土空间总体规划（2020-2035年）</w:t>
            </w:r>
          </w:p>
        </w:tc>
        <w:tc>
          <w:tcPr>
            <w:tcW w:w="2822" w:type="dxa"/>
            <w:vAlign w:val="center"/>
          </w:tcPr>
          <w:p>
            <w:pPr>
              <w:jc w:val="center"/>
              <w:rPr>
                <w:rFonts w:ascii="仿宋" w:hAnsi="仿宋" w:eastAsia="仿宋" w:cs="仿宋"/>
                <w:sz w:val="24"/>
              </w:rPr>
            </w:pPr>
            <w:r>
              <w:rPr>
                <w:rFonts w:hint="eastAsia" w:ascii="仿宋" w:hAnsi="仿宋" w:eastAsia="仿宋" w:cs="仿宋"/>
                <w:sz w:val="24"/>
              </w:rPr>
              <w:t>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982" w:type="dxa"/>
            <w:vAlign w:val="center"/>
          </w:tcPr>
          <w:p>
            <w:pPr>
              <w:jc w:val="center"/>
              <w:rPr>
                <w:rFonts w:ascii="仿宋" w:hAnsi="仿宋" w:eastAsia="仿宋" w:cs="仿宋"/>
                <w:sz w:val="24"/>
              </w:rPr>
            </w:pPr>
            <w:r>
              <w:rPr>
                <w:rFonts w:hint="eastAsia" w:ascii="仿宋" w:hAnsi="仿宋" w:eastAsia="仿宋" w:cs="仿宋"/>
                <w:sz w:val="24"/>
              </w:rPr>
              <w:t>5</w:t>
            </w:r>
          </w:p>
        </w:tc>
        <w:tc>
          <w:tcPr>
            <w:tcW w:w="4662" w:type="dxa"/>
            <w:vAlign w:val="center"/>
          </w:tcPr>
          <w:p>
            <w:pPr>
              <w:jc w:val="left"/>
              <w:rPr>
                <w:rFonts w:ascii="仿宋" w:hAnsi="仿宋" w:eastAsia="仿宋" w:cs="仿宋"/>
                <w:sz w:val="24"/>
              </w:rPr>
            </w:pPr>
            <w:r>
              <w:rPr>
                <w:rFonts w:hint="eastAsia" w:ascii="仿宋" w:hAnsi="仿宋" w:eastAsia="仿宋" w:cs="仿宋"/>
                <w:sz w:val="24"/>
                <w:shd w:val="clear" w:color="auto" w:fill="FFFFFF"/>
              </w:rPr>
              <w:t>三亚市自然资源和规划局-三亚市国土空间总体规划（2020—2035）</w:t>
            </w:r>
          </w:p>
        </w:tc>
        <w:tc>
          <w:tcPr>
            <w:tcW w:w="2822" w:type="dxa"/>
            <w:vAlign w:val="center"/>
          </w:tcPr>
          <w:p>
            <w:pPr>
              <w:jc w:val="center"/>
              <w:rPr>
                <w:rFonts w:ascii="仿宋" w:hAnsi="仿宋" w:eastAsia="仿宋" w:cs="仿宋"/>
                <w:sz w:val="24"/>
              </w:rPr>
            </w:pPr>
            <w:r>
              <w:rPr>
                <w:rFonts w:hint="eastAsia" w:ascii="仿宋" w:hAnsi="仿宋" w:eastAsia="仿宋" w:cs="仿宋"/>
                <w:sz w:val="24"/>
              </w:rPr>
              <w:t>1799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1" w:hRule="atLeast"/>
        </w:trPr>
        <w:tc>
          <w:tcPr>
            <w:tcW w:w="982" w:type="dxa"/>
            <w:vAlign w:val="center"/>
          </w:tcPr>
          <w:p>
            <w:pPr>
              <w:jc w:val="center"/>
              <w:rPr>
                <w:rFonts w:ascii="仿宋" w:hAnsi="仿宋" w:eastAsia="仿宋" w:cs="仿宋"/>
                <w:sz w:val="24"/>
              </w:rPr>
            </w:pPr>
            <w:r>
              <w:rPr>
                <w:rFonts w:hint="eastAsia" w:ascii="仿宋" w:hAnsi="仿宋" w:eastAsia="仿宋" w:cs="仿宋"/>
                <w:sz w:val="24"/>
              </w:rPr>
              <w:t>6</w:t>
            </w:r>
          </w:p>
        </w:tc>
        <w:tc>
          <w:tcPr>
            <w:tcW w:w="4662" w:type="dxa"/>
            <w:vAlign w:val="center"/>
          </w:tcPr>
          <w:p>
            <w:pPr>
              <w:pStyle w:val="4"/>
              <w:keepNext w:val="0"/>
              <w:keepLines w:val="0"/>
              <w:widowControl/>
              <w:shd w:val="clear" w:color="auto" w:fill="FFFFFF"/>
              <w:spacing w:before="225" w:after="150" w:line="270" w:lineRule="atLeast"/>
              <w:textAlignment w:val="baseline"/>
              <w:rPr>
                <w:rFonts w:ascii="仿宋" w:hAnsi="仿宋" w:eastAsia="仿宋" w:cs="仿宋"/>
                <w:b w:val="0"/>
                <w:sz w:val="24"/>
                <w:shd w:val="clear" w:color="auto" w:fill="FFFFFF"/>
              </w:rPr>
            </w:pPr>
            <w:r>
              <w:rPr>
                <w:rFonts w:hint="eastAsia" w:ascii="仿宋" w:hAnsi="仿宋" w:eastAsia="仿宋" w:cs="仿宋"/>
                <w:b w:val="0"/>
                <w:sz w:val="24"/>
                <w:shd w:val="clear" w:color="auto" w:fill="FFFFFF"/>
              </w:rPr>
              <w:t>中山市自然资源局中山市国土空间总体规划（2020-2035年）</w:t>
            </w:r>
          </w:p>
        </w:tc>
        <w:tc>
          <w:tcPr>
            <w:tcW w:w="2822" w:type="dxa"/>
            <w:vAlign w:val="center"/>
          </w:tcPr>
          <w:p>
            <w:pPr>
              <w:jc w:val="center"/>
              <w:rPr>
                <w:rFonts w:ascii="仿宋" w:hAnsi="仿宋" w:eastAsia="仿宋" w:cs="仿宋"/>
                <w:sz w:val="24"/>
              </w:rPr>
            </w:pPr>
            <w:r>
              <w:rPr>
                <w:rFonts w:hint="eastAsia" w:ascii="仿宋" w:hAnsi="仿宋" w:eastAsia="仿宋" w:cs="仿宋"/>
                <w:sz w:val="24"/>
              </w:rPr>
              <w:t>2580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9" w:hRule="atLeast"/>
        </w:trPr>
        <w:tc>
          <w:tcPr>
            <w:tcW w:w="982" w:type="dxa"/>
            <w:vAlign w:val="center"/>
          </w:tcPr>
          <w:p>
            <w:pPr>
              <w:jc w:val="center"/>
              <w:rPr>
                <w:rFonts w:ascii="仿宋" w:hAnsi="仿宋" w:eastAsia="仿宋" w:cs="仿宋"/>
                <w:sz w:val="24"/>
              </w:rPr>
            </w:pPr>
            <w:r>
              <w:rPr>
                <w:rFonts w:hint="eastAsia" w:ascii="仿宋" w:hAnsi="仿宋" w:eastAsia="仿宋" w:cs="仿宋"/>
                <w:sz w:val="24"/>
              </w:rPr>
              <w:t>7</w:t>
            </w:r>
          </w:p>
        </w:tc>
        <w:tc>
          <w:tcPr>
            <w:tcW w:w="4662" w:type="dxa"/>
            <w:vAlign w:val="center"/>
          </w:tcPr>
          <w:p>
            <w:pPr>
              <w:pStyle w:val="4"/>
              <w:keepNext w:val="0"/>
              <w:keepLines w:val="0"/>
              <w:widowControl/>
              <w:shd w:val="clear" w:color="auto" w:fill="FFFFFF"/>
              <w:spacing w:before="225" w:after="150" w:line="270" w:lineRule="atLeast"/>
              <w:textAlignment w:val="baseline"/>
              <w:rPr>
                <w:rFonts w:ascii="仿宋" w:hAnsi="仿宋" w:eastAsia="仿宋" w:cs="仿宋"/>
                <w:b w:val="0"/>
                <w:sz w:val="24"/>
                <w:shd w:val="clear" w:color="auto" w:fill="FFFFFF"/>
              </w:rPr>
            </w:pPr>
            <w:r>
              <w:rPr>
                <w:rFonts w:hint="eastAsia" w:ascii="仿宋" w:hAnsi="仿宋" w:eastAsia="仿宋" w:cs="仿宋"/>
                <w:b w:val="0"/>
                <w:sz w:val="24"/>
                <w:shd w:val="clear" w:color="auto" w:fill="FFFFFF"/>
              </w:rPr>
              <w:t>珠海市自然资源局市国土空间总体规划（2020-2035年）</w:t>
            </w:r>
          </w:p>
        </w:tc>
        <w:tc>
          <w:tcPr>
            <w:tcW w:w="2822" w:type="dxa"/>
            <w:vAlign w:val="center"/>
          </w:tcPr>
          <w:p>
            <w:pPr>
              <w:jc w:val="center"/>
              <w:rPr>
                <w:rFonts w:ascii="仿宋" w:hAnsi="仿宋" w:eastAsia="仿宋" w:cs="仿宋"/>
                <w:sz w:val="24"/>
              </w:rPr>
            </w:pPr>
            <w:r>
              <w:rPr>
                <w:rFonts w:hint="eastAsia" w:ascii="仿宋" w:hAnsi="仿宋" w:eastAsia="仿宋" w:cs="仿宋"/>
                <w:sz w:val="24"/>
              </w:rPr>
              <w:t>1850</w:t>
            </w:r>
          </w:p>
        </w:tc>
      </w:tr>
    </w:tbl>
    <w:p>
      <w:pPr>
        <w:jc w:val="center"/>
      </w:pPr>
    </w:p>
    <w:p>
      <w:pPr>
        <w:spacing w:line="360" w:lineRule="auto"/>
        <w:ind w:firstLine="640" w:firstLineChars="200"/>
        <w:rPr>
          <w:rFonts w:eastAsia="仿宋_GB2312"/>
          <w:sz w:val="32"/>
          <w:szCs w:val="32"/>
        </w:rPr>
      </w:pPr>
      <w:r>
        <w:rPr>
          <w:rFonts w:hint="eastAsia" w:eastAsia="仿宋_GB2312"/>
          <w:sz w:val="32"/>
          <w:szCs w:val="32"/>
        </w:rPr>
        <w:t>从表9可以看出，本项目价格在同类项目中属于适中偏低，项目成本控制有效。</w:t>
      </w:r>
    </w:p>
    <w:p>
      <w:pPr>
        <w:spacing w:line="360" w:lineRule="auto"/>
        <w:ind w:firstLine="640" w:firstLineChars="200"/>
        <w:rPr>
          <w:rFonts w:eastAsia="仿宋_GB2312"/>
          <w:sz w:val="32"/>
          <w:szCs w:val="32"/>
        </w:rPr>
      </w:pPr>
      <w:r>
        <w:rPr>
          <w:rFonts w:hint="eastAsia" w:eastAsia="仿宋_GB2312"/>
          <w:sz w:val="32"/>
          <w:szCs w:val="32"/>
        </w:rPr>
        <w:t>该指标分值5分，自评得分5分。</w:t>
      </w:r>
    </w:p>
    <w:p/>
    <w:p>
      <w:pPr>
        <w:spacing w:line="360" w:lineRule="auto"/>
        <w:ind w:firstLine="643" w:firstLineChars="200"/>
        <w:rPr>
          <w:rFonts w:eastAsia="仿宋_GB2312"/>
          <w:b/>
          <w:bCs/>
          <w:sz w:val="32"/>
          <w:szCs w:val="32"/>
        </w:rPr>
      </w:pPr>
      <w:r>
        <w:rPr>
          <w:rFonts w:eastAsia="仿宋_GB2312"/>
          <w:b/>
          <w:bCs/>
          <w:sz w:val="32"/>
          <w:szCs w:val="32"/>
        </w:rPr>
        <w:t>2.专项资金完成绩效目标情况。</w:t>
      </w:r>
    </w:p>
    <w:p>
      <w:pPr>
        <w:spacing w:line="360" w:lineRule="auto"/>
        <w:ind w:firstLine="640" w:firstLineChars="200"/>
        <w:rPr>
          <w:rFonts w:eastAsia="仿宋_GB2312"/>
          <w:sz w:val="32"/>
          <w:szCs w:val="32"/>
        </w:rPr>
      </w:pPr>
      <w:r>
        <w:rPr>
          <w:rFonts w:eastAsia="仿宋_GB2312"/>
          <w:sz w:val="32"/>
          <w:szCs w:val="32"/>
        </w:rPr>
        <w:t>截至2019年底，专项资金预算申报时确定的绩效目标“一是编制完成省级国土空间规划，形成一批省级国土空间规划专题研究报告。二是开发广东省国土空间规划监测评估预警管理系统。三是成立国土空间规划技术联盟，形成一批国土空间规划编制和实施管理的技术规程、导则和论文；完成珠江三角洲国土空间规划编制。”均已完成。</w:t>
      </w:r>
    </w:p>
    <w:p>
      <w:pPr>
        <w:spacing w:line="360" w:lineRule="auto"/>
        <w:ind w:firstLine="643" w:firstLineChars="200"/>
        <w:rPr>
          <w:rFonts w:eastAsia="仿宋_GB2312"/>
          <w:b/>
          <w:bCs/>
          <w:sz w:val="32"/>
          <w:szCs w:val="32"/>
        </w:rPr>
      </w:pPr>
      <w:r>
        <w:rPr>
          <w:rFonts w:eastAsia="仿宋_GB2312"/>
          <w:b/>
          <w:bCs/>
          <w:sz w:val="32"/>
          <w:szCs w:val="32"/>
        </w:rPr>
        <w:t>3.专项资金分用途使用绩效。</w:t>
      </w:r>
    </w:p>
    <w:p>
      <w:pPr>
        <w:spacing w:line="360" w:lineRule="auto"/>
        <w:ind w:firstLine="640" w:firstLineChars="200"/>
        <w:rPr>
          <w:rFonts w:eastAsia="仿宋_GB2312"/>
          <w:sz w:val="32"/>
          <w:szCs w:val="32"/>
        </w:rPr>
      </w:pPr>
      <w:r>
        <w:rPr>
          <w:rFonts w:eastAsia="仿宋_GB2312"/>
          <w:sz w:val="32"/>
          <w:szCs w:val="32"/>
        </w:rPr>
        <w:t>（1）广东省国土空间规划（2020-2035年）</w:t>
      </w:r>
    </w:p>
    <w:p>
      <w:pPr>
        <w:spacing w:line="360" w:lineRule="auto"/>
        <w:ind w:firstLine="640" w:firstLineChars="200"/>
        <w:rPr>
          <w:rFonts w:eastAsia="仿宋_GB2312"/>
          <w:sz w:val="32"/>
          <w:szCs w:val="32"/>
        </w:rPr>
      </w:pPr>
      <w:r>
        <w:rPr>
          <w:rFonts w:hint="eastAsia" w:eastAsia="仿宋_GB2312"/>
          <w:sz w:val="32"/>
          <w:szCs w:val="32"/>
        </w:rPr>
        <w:t>主要产出包括：</w:t>
      </w:r>
    </w:p>
    <w:p>
      <w:pPr>
        <w:spacing w:line="360" w:lineRule="auto"/>
        <w:ind w:firstLine="640" w:firstLineChars="200"/>
        <w:rPr>
          <w:rFonts w:eastAsia="仿宋_GB2312"/>
          <w:sz w:val="32"/>
          <w:szCs w:val="32"/>
        </w:rPr>
      </w:pPr>
      <w:r>
        <w:rPr>
          <w:rFonts w:hint="eastAsia" w:eastAsia="仿宋_GB2312"/>
          <w:sz w:val="32"/>
          <w:szCs w:val="32"/>
        </w:rPr>
        <w:t>一是初步完成一套规划文本、规划图集、规划编制说明、专题研究成果以及基础数据和相关成果数据。</w:t>
      </w:r>
    </w:p>
    <w:p>
      <w:pPr>
        <w:spacing w:line="360" w:lineRule="auto"/>
        <w:ind w:firstLine="640" w:firstLineChars="200"/>
        <w:rPr>
          <w:rFonts w:eastAsia="仿宋_GB2312"/>
          <w:sz w:val="32"/>
          <w:szCs w:val="32"/>
        </w:rPr>
      </w:pPr>
      <w:r>
        <w:rPr>
          <w:rFonts w:hint="eastAsia" w:eastAsia="仿宋_GB2312"/>
          <w:sz w:val="32"/>
          <w:szCs w:val="32"/>
        </w:rPr>
        <w:t>其中规划文本包括问题识别与形势研判；战略目标和格局；国土空间总体格局；主导功能空间；自然资源保护与利用；促进区域协同；城乡融合发展；优化基础设施布局。国土综合整治和生态保护修复。完善规划保障体系。</w:t>
      </w:r>
    </w:p>
    <w:p>
      <w:pPr>
        <w:spacing w:line="360" w:lineRule="auto"/>
        <w:ind w:firstLine="640" w:firstLineChars="200"/>
        <w:rPr>
          <w:rFonts w:eastAsia="仿宋_GB2312"/>
          <w:sz w:val="32"/>
          <w:szCs w:val="32"/>
        </w:rPr>
      </w:pPr>
      <w:r>
        <w:rPr>
          <w:rFonts w:hint="eastAsia" w:eastAsia="仿宋_GB2312"/>
          <w:sz w:val="32"/>
          <w:szCs w:val="32"/>
        </w:rPr>
        <w:t>二是图集包括规划成果图、基础分析图、评价分析图。图件比例尺一般为 1：15万—1：20万。规划图集主要包括但不仅限于以下内容：规划成果图。规划成果图为必备图件，包括：国土空间格局图、国土空间主导功能分区图、基础支撑体系规划图、生态保护与修复布局图。基础分析图。基础分析图可根据地区实际情况和需求选择性绘制，包括：区位分析图、地形地貌图、行政区划图、土地利用现状图、矿产资源分布图、生态资源现状图、城镇体系现状图、综合交通现状图等。评价分析图。评价分析图可根据地区实际情况和需求选择性绘制，包括：资源环境承载能力评价图、国土空间适宜性评价图、经济社会及人口分析图等。</w:t>
      </w:r>
    </w:p>
    <w:p>
      <w:pPr>
        <w:spacing w:line="360" w:lineRule="auto"/>
        <w:ind w:firstLine="640" w:firstLineChars="200"/>
        <w:rPr>
          <w:rFonts w:ascii="仿宋" w:hAnsi="仿宋" w:eastAsia="仿宋" w:cs="宋体"/>
          <w:sz w:val="28"/>
          <w:szCs w:val="21"/>
        </w:rPr>
      </w:pPr>
      <w:r>
        <w:rPr>
          <w:rFonts w:hint="eastAsia" w:eastAsia="仿宋_GB2312"/>
          <w:sz w:val="32"/>
          <w:szCs w:val="32"/>
        </w:rPr>
        <w:t>三是规划编制说明包括规划编制基础；规划目标定位；国土空间格局；国土主导功能区划分；支撑体系；国土综合整合和生态保护修复；规划实施影响评价；规划协调衔接；</w:t>
      </w:r>
    </w:p>
    <w:p>
      <w:pPr>
        <w:spacing w:line="360" w:lineRule="auto"/>
        <w:ind w:firstLine="640" w:firstLineChars="200"/>
        <w:rPr>
          <w:rFonts w:eastAsia="仿宋_GB2312"/>
          <w:sz w:val="32"/>
          <w:szCs w:val="32"/>
        </w:rPr>
      </w:pPr>
      <w:r>
        <w:rPr>
          <w:rFonts w:hint="eastAsia" w:eastAsia="仿宋_GB2312"/>
          <w:sz w:val="32"/>
          <w:szCs w:val="32"/>
        </w:rPr>
        <w:t>四是完成一批</w:t>
      </w:r>
      <w:r>
        <w:rPr>
          <w:rFonts w:eastAsia="仿宋_GB2312"/>
          <w:sz w:val="32"/>
          <w:szCs w:val="32"/>
        </w:rPr>
        <w:t>专题初步成果，详见表</w:t>
      </w:r>
      <w:r>
        <w:rPr>
          <w:rFonts w:hint="eastAsia" w:eastAsia="仿宋_GB2312"/>
          <w:sz w:val="32"/>
          <w:szCs w:val="32"/>
        </w:rPr>
        <w:t>10</w:t>
      </w:r>
      <w:r>
        <w:rPr>
          <w:rFonts w:eastAsia="仿宋_GB2312"/>
          <w:sz w:val="32"/>
          <w:szCs w:val="32"/>
        </w:rPr>
        <w:t>：</w:t>
      </w:r>
    </w:p>
    <w:p>
      <w:pPr>
        <w:jc w:val="center"/>
        <w:rPr>
          <w:rFonts w:eastAsia="黑体"/>
          <w:sz w:val="28"/>
          <w:szCs w:val="28"/>
        </w:rPr>
      </w:pPr>
    </w:p>
    <w:p>
      <w:pPr>
        <w:jc w:val="center"/>
        <w:rPr>
          <w:rFonts w:eastAsia="黑体"/>
          <w:sz w:val="20"/>
          <w:szCs w:val="20"/>
        </w:rPr>
      </w:pPr>
      <w:r>
        <w:rPr>
          <w:rFonts w:eastAsia="黑体"/>
          <w:sz w:val="28"/>
          <w:szCs w:val="28"/>
        </w:rPr>
        <w:t>表</w:t>
      </w:r>
      <w:r>
        <w:rPr>
          <w:rFonts w:hint="eastAsia" w:eastAsia="黑体"/>
          <w:sz w:val="28"/>
          <w:szCs w:val="28"/>
        </w:rPr>
        <w:t>10</w:t>
      </w:r>
      <w:r>
        <w:rPr>
          <w:rFonts w:eastAsia="黑体"/>
          <w:sz w:val="28"/>
          <w:szCs w:val="28"/>
        </w:rPr>
        <w:t xml:space="preserve">   专题成果表</w:t>
      </w:r>
    </w:p>
    <w:tbl>
      <w:tblPr>
        <w:tblStyle w:val="15"/>
        <w:tblW w:w="8247" w:type="dxa"/>
        <w:tblInd w:w="0" w:type="dxa"/>
        <w:tblLayout w:type="fixed"/>
        <w:tblCellMar>
          <w:top w:w="0" w:type="dxa"/>
          <w:left w:w="0" w:type="dxa"/>
          <w:bottom w:w="0" w:type="dxa"/>
          <w:right w:w="0" w:type="dxa"/>
        </w:tblCellMar>
      </w:tblPr>
      <w:tblGrid>
        <w:gridCol w:w="657"/>
        <w:gridCol w:w="7590"/>
      </w:tblGrid>
      <w:tr>
        <w:tblPrEx>
          <w:tblLayout w:type="fixed"/>
          <w:tblCellMar>
            <w:top w:w="0" w:type="dxa"/>
            <w:left w:w="0" w:type="dxa"/>
            <w:bottom w:w="0" w:type="dxa"/>
            <w:right w:w="0" w:type="dxa"/>
          </w:tblCellMar>
        </w:tblPrEx>
        <w:trPr>
          <w:trHeight w:val="51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序号</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专题成果名称</w:t>
            </w:r>
          </w:p>
        </w:tc>
      </w:tr>
      <w:tr>
        <w:tblPrEx>
          <w:tblLayout w:type="fixed"/>
          <w:tblCellMar>
            <w:top w:w="0" w:type="dxa"/>
            <w:left w:w="0" w:type="dxa"/>
            <w:bottom w:w="0" w:type="dxa"/>
            <w:right w:w="0" w:type="dxa"/>
          </w:tblCellMar>
        </w:tblPrEx>
        <w:trPr>
          <w:trHeight w:val="47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现有省级空间性规划的总结评估</w:t>
            </w:r>
          </w:p>
        </w:tc>
      </w:tr>
      <w:tr>
        <w:tblPrEx>
          <w:tblLayout w:type="fixed"/>
          <w:tblCellMar>
            <w:top w:w="0" w:type="dxa"/>
            <w:left w:w="0" w:type="dxa"/>
            <w:bottom w:w="0" w:type="dxa"/>
            <w:right w:w="0" w:type="dxa"/>
          </w:tblCellMar>
        </w:tblPrEx>
        <w:trPr>
          <w:trHeight w:val="44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2</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广东省资源环境承载能力和国土空间开适宜性评价</w:t>
            </w:r>
          </w:p>
        </w:tc>
      </w:tr>
      <w:tr>
        <w:tblPrEx>
          <w:tblLayout w:type="fixed"/>
          <w:tblCellMar>
            <w:top w:w="0" w:type="dxa"/>
            <w:left w:w="0" w:type="dxa"/>
            <w:bottom w:w="0" w:type="dxa"/>
            <w:right w:w="0" w:type="dxa"/>
          </w:tblCellMar>
        </w:tblPrEx>
        <w:trPr>
          <w:trHeight w:val="44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3</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国土空间规划目标与战略研究</w:t>
            </w:r>
          </w:p>
        </w:tc>
      </w:tr>
      <w:tr>
        <w:tblPrEx>
          <w:tblLayout w:type="fixed"/>
          <w:tblCellMar>
            <w:top w:w="0" w:type="dxa"/>
            <w:left w:w="0" w:type="dxa"/>
            <w:bottom w:w="0" w:type="dxa"/>
            <w:right w:w="0" w:type="dxa"/>
          </w:tblCellMar>
        </w:tblPrEx>
        <w:trPr>
          <w:trHeight w:val="40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4</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国土空间规划指标体系研究</w:t>
            </w:r>
          </w:p>
        </w:tc>
      </w:tr>
      <w:tr>
        <w:tblPrEx>
          <w:tblLayout w:type="fixed"/>
          <w:tblCellMar>
            <w:top w:w="0" w:type="dxa"/>
            <w:left w:w="0" w:type="dxa"/>
            <w:bottom w:w="0" w:type="dxa"/>
            <w:right w:w="0" w:type="dxa"/>
          </w:tblCellMar>
        </w:tblPrEx>
        <w:trPr>
          <w:trHeight w:val="42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5</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国土开发保护空间格局优化和管控</w:t>
            </w:r>
          </w:p>
        </w:tc>
      </w:tr>
      <w:tr>
        <w:tblPrEx>
          <w:tblLayout w:type="fixed"/>
          <w:tblCellMar>
            <w:top w:w="0" w:type="dxa"/>
            <w:left w:w="0" w:type="dxa"/>
            <w:bottom w:w="0" w:type="dxa"/>
            <w:right w:w="0" w:type="dxa"/>
          </w:tblCellMar>
        </w:tblPrEx>
        <w:trPr>
          <w:trHeight w:val="44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6</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海洋国土空间开发保护与陆海统筹</w:t>
            </w:r>
          </w:p>
        </w:tc>
      </w:tr>
      <w:tr>
        <w:tblPrEx>
          <w:tblLayout w:type="fixed"/>
          <w:tblCellMar>
            <w:top w:w="0" w:type="dxa"/>
            <w:left w:w="0" w:type="dxa"/>
            <w:bottom w:w="0" w:type="dxa"/>
            <w:right w:w="0" w:type="dxa"/>
          </w:tblCellMar>
        </w:tblPrEx>
        <w:trPr>
          <w:trHeight w:val="44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7</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“一核一带一区”区域发展新格局的国土空间响应</w:t>
            </w:r>
          </w:p>
        </w:tc>
      </w:tr>
      <w:tr>
        <w:tblPrEx>
          <w:tblLayout w:type="fixed"/>
          <w:tblCellMar>
            <w:top w:w="0" w:type="dxa"/>
            <w:left w:w="0" w:type="dxa"/>
            <w:bottom w:w="0" w:type="dxa"/>
            <w:right w:w="0" w:type="dxa"/>
          </w:tblCellMar>
        </w:tblPrEx>
        <w:trPr>
          <w:trHeight w:val="42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8</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粤港澳大湾区背景下的珠三角国土空间优化与区域协同发展</w:t>
            </w:r>
          </w:p>
        </w:tc>
      </w:tr>
      <w:tr>
        <w:tblPrEx>
          <w:tblLayout w:type="fixed"/>
          <w:tblCellMar>
            <w:top w:w="0" w:type="dxa"/>
            <w:left w:w="0" w:type="dxa"/>
            <w:bottom w:w="0" w:type="dxa"/>
            <w:right w:w="0" w:type="dxa"/>
          </w:tblCellMar>
        </w:tblPrEx>
        <w:trPr>
          <w:trHeight w:val="41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9</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rPr>
                <w:rFonts w:eastAsia="仿宋_GB2312"/>
                <w:sz w:val="24"/>
              </w:rPr>
            </w:pPr>
            <w:r>
              <w:rPr>
                <w:rFonts w:eastAsia="仿宋_GB2312"/>
                <w:sz w:val="24"/>
              </w:rPr>
              <w:t>新型城镇化战略下的广东省城镇（人口）、用地发展趋势和支撑关系研究</w:t>
            </w:r>
          </w:p>
        </w:tc>
      </w:tr>
      <w:tr>
        <w:tblPrEx>
          <w:tblLayout w:type="fixed"/>
          <w:tblCellMar>
            <w:top w:w="0" w:type="dxa"/>
            <w:left w:w="0" w:type="dxa"/>
            <w:bottom w:w="0" w:type="dxa"/>
            <w:right w:w="0" w:type="dxa"/>
          </w:tblCellMar>
        </w:tblPrEx>
        <w:trPr>
          <w:trHeight w:val="40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10</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产业空间布局及要素配置政策研究</w:t>
            </w:r>
          </w:p>
        </w:tc>
      </w:tr>
      <w:tr>
        <w:tblPrEx>
          <w:tblLayout w:type="fixed"/>
          <w:tblCellMar>
            <w:top w:w="0" w:type="dxa"/>
            <w:left w:w="0" w:type="dxa"/>
            <w:bottom w:w="0" w:type="dxa"/>
            <w:right w:w="0" w:type="dxa"/>
          </w:tblCellMar>
        </w:tblPrEx>
        <w:trPr>
          <w:trHeight w:val="44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11</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综合交通运输体系建设及要素布局研究</w:t>
            </w:r>
          </w:p>
        </w:tc>
      </w:tr>
      <w:tr>
        <w:tblPrEx>
          <w:tblLayout w:type="fixed"/>
          <w:tblCellMar>
            <w:top w:w="0" w:type="dxa"/>
            <w:left w:w="0" w:type="dxa"/>
            <w:bottom w:w="0" w:type="dxa"/>
            <w:right w:w="0" w:type="dxa"/>
          </w:tblCellMar>
        </w:tblPrEx>
        <w:trPr>
          <w:trHeight w:val="41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12</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乡村振兴和农业空间布局研究</w:t>
            </w:r>
          </w:p>
        </w:tc>
      </w:tr>
      <w:tr>
        <w:tblPrEx>
          <w:tblLayout w:type="fixed"/>
          <w:tblCellMar>
            <w:top w:w="0" w:type="dxa"/>
            <w:left w:w="0" w:type="dxa"/>
            <w:bottom w:w="0" w:type="dxa"/>
            <w:right w:w="0" w:type="dxa"/>
          </w:tblCellMar>
        </w:tblPrEx>
        <w:trPr>
          <w:trHeight w:val="45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13</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国土综合整治和生态保护修复</w:t>
            </w:r>
          </w:p>
        </w:tc>
      </w:tr>
      <w:tr>
        <w:tblPrEx>
          <w:tblLayout w:type="fixed"/>
          <w:tblCellMar>
            <w:top w:w="0" w:type="dxa"/>
            <w:left w:w="0" w:type="dxa"/>
            <w:bottom w:w="0" w:type="dxa"/>
            <w:right w:w="0" w:type="dxa"/>
          </w:tblCellMar>
        </w:tblPrEx>
        <w:trPr>
          <w:trHeight w:val="42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14</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广东省以国家公园为主体的自然保护地体系研究</w:t>
            </w:r>
          </w:p>
        </w:tc>
      </w:tr>
      <w:tr>
        <w:tblPrEx>
          <w:tblLayout w:type="fixed"/>
          <w:tblCellMar>
            <w:top w:w="0" w:type="dxa"/>
            <w:left w:w="0" w:type="dxa"/>
            <w:bottom w:w="0" w:type="dxa"/>
            <w:right w:w="0" w:type="dxa"/>
          </w:tblCellMar>
        </w:tblPrEx>
        <w:trPr>
          <w:trHeight w:val="43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15</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存量建设用地再开发研究</w:t>
            </w:r>
          </w:p>
        </w:tc>
      </w:tr>
      <w:tr>
        <w:tblPrEx>
          <w:tblLayout w:type="fixed"/>
          <w:tblCellMar>
            <w:top w:w="0" w:type="dxa"/>
            <w:left w:w="0" w:type="dxa"/>
            <w:bottom w:w="0" w:type="dxa"/>
            <w:right w:w="0" w:type="dxa"/>
          </w:tblCellMar>
        </w:tblPrEx>
        <w:trPr>
          <w:trHeight w:val="51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16</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国土空间高品质利用与地域文化保护利用</w:t>
            </w:r>
          </w:p>
        </w:tc>
      </w:tr>
      <w:tr>
        <w:tblPrEx>
          <w:tblLayout w:type="fixed"/>
          <w:tblCellMar>
            <w:top w:w="0" w:type="dxa"/>
            <w:left w:w="0" w:type="dxa"/>
            <w:bottom w:w="0" w:type="dxa"/>
            <w:right w:w="0" w:type="dxa"/>
          </w:tblCellMar>
        </w:tblPrEx>
        <w:trPr>
          <w:trHeight w:val="46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17</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国土安全及重大灾害防治</w:t>
            </w:r>
          </w:p>
        </w:tc>
      </w:tr>
      <w:tr>
        <w:tblPrEx>
          <w:tblLayout w:type="fixed"/>
          <w:tblCellMar>
            <w:top w:w="0" w:type="dxa"/>
            <w:left w:w="0" w:type="dxa"/>
            <w:bottom w:w="0" w:type="dxa"/>
            <w:right w:w="0" w:type="dxa"/>
          </w:tblCellMar>
        </w:tblPrEx>
        <w:trPr>
          <w:trHeight w:val="44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18</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国内外先进空间规划对标分析</w:t>
            </w:r>
          </w:p>
        </w:tc>
      </w:tr>
      <w:tr>
        <w:tblPrEx>
          <w:tblLayout w:type="fixed"/>
          <w:tblCellMar>
            <w:top w:w="0" w:type="dxa"/>
            <w:left w:w="0" w:type="dxa"/>
            <w:bottom w:w="0" w:type="dxa"/>
            <w:right w:w="0" w:type="dxa"/>
          </w:tblCellMar>
        </w:tblPrEx>
        <w:trPr>
          <w:trHeight w:val="43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19</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空间规划实施机制和政策支撑研究</w:t>
            </w:r>
          </w:p>
        </w:tc>
      </w:tr>
      <w:tr>
        <w:tblPrEx>
          <w:tblLayout w:type="fixed"/>
          <w:tblCellMar>
            <w:top w:w="0" w:type="dxa"/>
            <w:left w:w="0" w:type="dxa"/>
            <w:bottom w:w="0" w:type="dxa"/>
            <w:right w:w="0" w:type="dxa"/>
          </w:tblCellMar>
        </w:tblPrEx>
        <w:trPr>
          <w:trHeight w:val="468"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20</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国土空间用途管制制度创新研究</w:t>
            </w:r>
          </w:p>
        </w:tc>
      </w:tr>
      <w:tr>
        <w:tblPrEx>
          <w:tblLayout w:type="fixed"/>
          <w:tblCellMar>
            <w:top w:w="0" w:type="dxa"/>
            <w:left w:w="0" w:type="dxa"/>
            <w:bottom w:w="0" w:type="dxa"/>
            <w:right w:w="0" w:type="dxa"/>
          </w:tblCellMar>
        </w:tblPrEx>
        <w:trPr>
          <w:trHeight w:val="510" w:hRule="atLeast"/>
        </w:trPr>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jc w:val="center"/>
              <w:rPr>
                <w:rFonts w:eastAsia="仿宋_GB2312"/>
                <w:sz w:val="24"/>
              </w:rPr>
            </w:pPr>
            <w:r>
              <w:rPr>
                <w:rFonts w:eastAsia="仿宋_GB2312"/>
                <w:sz w:val="24"/>
              </w:rPr>
              <w:t>21</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spacing w:line="360" w:lineRule="auto"/>
              <w:rPr>
                <w:rFonts w:eastAsia="仿宋_GB2312"/>
                <w:sz w:val="24"/>
              </w:rPr>
            </w:pPr>
            <w:r>
              <w:rPr>
                <w:rFonts w:eastAsia="仿宋_GB2312"/>
                <w:sz w:val="24"/>
              </w:rPr>
              <w:t>大数据服务支撑</w:t>
            </w:r>
          </w:p>
        </w:tc>
      </w:tr>
    </w:tbl>
    <w:p>
      <w:pPr>
        <w:pStyle w:val="3"/>
        <w:widowControl/>
        <w:shd w:val="clear" w:color="auto" w:fill="FFFFFF"/>
        <w:spacing w:before="150" w:beforeAutospacing="0" w:after="188" w:afterAutospacing="0"/>
        <w:ind w:firstLine="640" w:firstLineChars="200"/>
        <w:rPr>
          <w:rFonts w:hint="default" w:eastAsia="仿宋_GB2312"/>
          <w:b w:val="0"/>
          <w:sz w:val="32"/>
          <w:szCs w:val="32"/>
        </w:rPr>
      </w:pPr>
      <w:r>
        <w:rPr>
          <w:rFonts w:eastAsia="仿宋_GB2312"/>
          <w:b w:val="0"/>
          <w:sz w:val="32"/>
          <w:szCs w:val="32"/>
        </w:rPr>
        <w:t>该项的主要绩效为：</w:t>
      </w:r>
    </w:p>
    <w:p>
      <w:pPr>
        <w:pStyle w:val="3"/>
        <w:widowControl/>
        <w:shd w:val="clear" w:color="auto" w:fill="FFFFFF"/>
        <w:spacing w:before="150" w:beforeAutospacing="0" w:after="188" w:afterAutospacing="0"/>
        <w:ind w:firstLine="640" w:firstLineChars="200"/>
        <w:rPr>
          <w:rFonts w:hint="default" w:eastAsia="仿宋_GB2312"/>
          <w:b w:val="0"/>
          <w:sz w:val="32"/>
          <w:szCs w:val="32"/>
        </w:rPr>
      </w:pPr>
      <w:r>
        <w:rPr>
          <w:rFonts w:eastAsia="仿宋_GB2312"/>
          <w:b w:val="0"/>
          <w:sz w:val="32"/>
          <w:szCs w:val="32"/>
        </w:rPr>
        <w:t>一是通过广东省省级国土空间规划编制工作，为广东省全省空间规划编制工作奠定了坚实的基础。2020年省自然资源厅办公室关于印发《广东省自然资源厅2020年国土空间规划工作要点》的通知，提出开展实施“十大工程”，加快国土空间规划体系建设，这十大工程包括“规划编制”工程；“三线划定”工程；“村规提升”工程；“详规优化”工程；“制度建设”工程；“标准建设”工程；“系统建设”工程；“驿道增辉”工程；“民生保障”工程；“阳光规划”工程，为全省空间规划编制工作提出了明确的要求，指明了工作方向。</w:t>
      </w:r>
    </w:p>
    <w:p>
      <w:pPr>
        <w:pStyle w:val="3"/>
        <w:widowControl/>
        <w:shd w:val="clear" w:color="auto" w:fill="FFFFFF"/>
        <w:spacing w:before="150" w:beforeAutospacing="0" w:after="188" w:afterAutospacing="0"/>
        <w:ind w:firstLine="640" w:firstLineChars="200"/>
        <w:rPr>
          <w:rFonts w:hint="default" w:eastAsia="仿宋_GB2312"/>
          <w:b w:val="0"/>
          <w:sz w:val="32"/>
          <w:szCs w:val="32"/>
        </w:rPr>
      </w:pPr>
      <w:r>
        <w:rPr>
          <w:rFonts w:eastAsia="仿宋_GB2312"/>
          <w:b w:val="0"/>
          <w:sz w:val="32"/>
          <w:szCs w:val="32"/>
        </w:rPr>
        <w:t>二是为落实省域国土空间开发保护总体战略目标，整体谋划新时代国土空间开发保护格局提供规划支撑，是省域内空间开发、资源配置、用途管控的重要依据。全省空间规划的编制，对统筹优化生态保护红线、永久基本农田、城镇开发边界以及各类海域保护线划定成果，明确省域重点发展地区，统筹各类自然资源要素配置，强化底线约束，为可持续发展预留空间。保护生态屏障，构建生态廊道和生态网络，加强生态环境分区管治，推进国土空间生态整体保护和系统修复有重要意义。</w:t>
      </w:r>
    </w:p>
    <w:p>
      <w:pPr>
        <w:ind w:firstLine="640" w:firstLineChars="200"/>
      </w:pPr>
      <w:r>
        <w:rPr>
          <w:rFonts w:hint="eastAsia" w:eastAsia="仿宋_GB2312"/>
          <w:sz w:val="32"/>
          <w:szCs w:val="32"/>
        </w:rPr>
        <w:t>由于规划刚编制完成，尚未通过省政府审批发布，规划实施的效果尚未在实际工作中发挥作用，该指标扣4分。</w:t>
      </w:r>
    </w:p>
    <w:p>
      <w:pPr>
        <w:spacing w:before="120" w:after="120"/>
        <w:ind w:firstLine="640" w:firstLineChars="200"/>
        <w:rPr>
          <w:rFonts w:eastAsia="仿宋_GB2312"/>
          <w:sz w:val="32"/>
          <w:szCs w:val="32"/>
        </w:rPr>
      </w:pPr>
      <w:r>
        <w:rPr>
          <w:rFonts w:hint="eastAsia" w:eastAsia="仿宋_GB2312"/>
          <w:sz w:val="32"/>
          <w:szCs w:val="32"/>
        </w:rPr>
        <w:t>（2）</w:t>
      </w:r>
      <w:r>
        <w:rPr>
          <w:rFonts w:eastAsia="仿宋_GB2312"/>
          <w:sz w:val="32"/>
          <w:szCs w:val="32"/>
        </w:rPr>
        <w:t>广东省国土空间规划“一张图”实施监督信息平台建设：</w:t>
      </w:r>
    </w:p>
    <w:p>
      <w:pPr>
        <w:spacing w:before="120" w:after="120"/>
        <w:ind w:firstLine="640" w:firstLineChars="200"/>
        <w:rPr>
          <w:rFonts w:eastAsia="仿宋_GB2312"/>
          <w:sz w:val="32"/>
          <w:szCs w:val="32"/>
        </w:rPr>
      </w:pPr>
      <w:r>
        <w:rPr>
          <w:rFonts w:hint="eastAsia" w:eastAsia="仿宋_GB2312"/>
          <w:sz w:val="32"/>
          <w:szCs w:val="32"/>
        </w:rPr>
        <w:t>主要产出包括：</w:t>
      </w:r>
    </w:p>
    <w:p>
      <w:pPr>
        <w:pStyle w:val="2"/>
        <w:ind w:firstLine="640"/>
        <w:rPr>
          <w:rFonts w:ascii="Times New Roman" w:hAnsi="Times New Roman"/>
          <w:b w:val="0"/>
          <w:bCs w:val="0"/>
          <w:kern w:val="2"/>
        </w:rPr>
      </w:pPr>
      <w:r>
        <w:rPr>
          <w:rFonts w:hint="eastAsia"/>
          <w:b w:val="0"/>
          <w:bCs w:val="0"/>
        </w:rPr>
        <w:t>一是形成</w:t>
      </w:r>
      <w:r>
        <w:rPr>
          <w:rFonts w:hint="eastAsia" w:ascii="Times New Roman" w:hAnsi="Times New Roman"/>
          <w:b w:val="0"/>
          <w:bCs w:val="0"/>
          <w:kern w:val="2"/>
        </w:rPr>
        <w:t>完善数据标准规范，用于规范国土空间规划成果数据、组织机构改革后补充完善的行政管理数据以及社会经济数据等规整、建库、汇交、入库、更新以及服务应用等；</w:t>
      </w:r>
    </w:p>
    <w:p>
      <w:pPr>
        <w:pStyle w:val="2"/>
        <w:ind w:firstLine="640"/>
        <w:rPr>
          <w:b w:val="0"/>
          <w:bCs w:val="0"/>
        </w:rPr>
      </w:pPr>
      <w:r>
        <w:rPr>
          <w:rFonts w:hint="eastAsia"/>
          <w:b w:val="0"/>
          <w:bCs w:val="0"/>
        </w:rPr>
        <w:t>二是实现规划数据的跨部门、跨行业、跨单位共享；</w:t>
      </w:r>
    </w:p>
    <w:p>
      <w:pPr>
        <w:pStyle w:val="2"/>
        <w:spacing w:before="120" w:after="120"/>
        <w:ind w:firstLine="640"/>
        <w:rPr>
          <w:b w:val="0"/>
          <w:bCs w:val="0"/>
        </w:rPr>
      </w:pPr>
      <w:r>
        <w:rPr>
          <w:rFonts w:hint="eastAsia"/>
          <w:b w:val="0"/>
          <w:bCs w:val="0"/>
        </w:rPr>
        <w:t>三是完成一套软件系统研发，主要功能包括</w:t>
      </w:r>
      <w:r>
        <w:rPr>
          <w:rFonts w:hint="eastAsia" w:ascii="Times New Roman" w:hAnsi="Times New Roman"/>
          <w:b w:val="0"/>
          <w:bCs w:val="0"/>
          <w:kern w:val="2"/>
        </w:rPr>
        <w:t>国土空间规划辅助编制、</w:t>
      </w:r>
      <w:r>
        <w:rPr>
          <w:rFonts w:hint="eastAsia"/>
          <w:b w:val="0"/>
          <w:bCs w:val="0"/>
        </w:rPr>
        <w:t>规划成果检查与审批、规划实施监测评估预警指标体系、规划实施监测评估预警、决策支持、其他系统成果接入和对外信息共享。</w:t>
      </w:r>
    </w:p>
    <w:p>
      <w:pPr>
        <w:spacing w:before="120" w:after="120"/>
        <w:ind w:firstLine="640" w:firstLineChars="200"/>
        <w:rPr>
          <w:rFonts w:eastAsia="仿宋_GB2312"/>
          <w:sz w:val="32"/>
          <w:szCs w:val="32"/>
        </w:rPr>
      </w:pPr>
      <w:r>
        <w:rPr>
          <w:rFonts w:hint="eastAsia" w:eastAsia="仿宋_GB2312"/>
          <w:sz w:val="32"/>
          <w:szCs w:val="32"/>
        </w:rPr>
        <w:t>主要绩效包括：</w:t>
      </w:r>
    </w:p>
    <w:p>
      <w:pPr>
        <w:pStyle w:val="2"/>
        <w:ind w:firstLine="640"/>
        <w:rPr>
          <w:b w:val="0"/>
          <w:bCs w:val="0"/>
        </w:rPr>
      </w:pPr>
      <w:r>
        <w:rPr>
          <w:rFonts w:hint="eastAsia"/>
          <w:b w:val="0"/>
          <w:bCs w:val="0"/>
        </w:rPr>
        <w:t>一是完成《中共中央 国务院关于建立国土空间规划体系并监督实施的若干意见》（中发</w:t>
      </w:r>
      <w:r>
        <w:rPr>
          <w:rFonts w:ascii="Times New Roman" w:hAnsi="Times New Roman"/>
          <w:b w:val="0"/>
          <w:bCs w:val="0"/>
        </w:rPr>
        <w:t>〔2019</w:t>
      </w:r>
      <w:r>
        <w:rPr>
          <w:rFonts w:ascii="Times New Roman" w:hAnsi="Times New Roman"/>
          <w:b w:val="0"/>
          <w:bCs w:val="0"/>
          <w:color w:val="000000"/>
          <w:lang w:bidi="ar"/>
        </w:rPr>
        <w:t>〕</w:t>
      </w:r>
      <w:r>
        <w:rPr>
          <w:rFonts w:hint="eastAsia" w:ascii="Times New Roman" w:hAnsi="Times New Roman"/>
          <w:b w:val="0"/>
          <w:bCs w:val="0"/>
        </w:rPr>
        <w:t>18</w:t>
      </w:r>
      <w:r>
        <w:rPr>
          <w:rFonts w:hint="eastAsia"/>
          <w:b w:val="0"/>
          <w:bCs w:val="0"/>
        </w:rPr>
        <w:t>号）中要求的“依托国土空间基础信息平台，建立健全国土孔家规划动态监测评估预警和实施监管机制”。</w:t>
      </w:r>
    </w:p>
    <w:p>
      <w:pPr>
        <w:spacing w:line="360" w:lineRule="auto"/>
        <w:ind w:firstLine="640" w:firstLineChars="200"/>
        <w:rPr>
          <w:rFonts w:ascii="Calibri" w:hAnsi="Calibri" w:eastAsia="仿宋_GB2312"/>
          <w:kern w:val="0"/>
          <w:sz w:val="32"/>
          <w:szCs w:val="32"/>
        </w:rPr>
      </w:pPr>
      <w:r>
        <w:rPr>
          <w:rFonts w:hint="eastAsia" w:ascii="Calibri" w:hAnsi="Calibri" w:eastAsia="仿宋_GB2312"/>
          <w:kern w:val="0"/>
          <w:sz w:val="32"/>
          <w:szCs w:val="32"/>
        </w:rPr>
        <w:t>二是建立了基于“国土空间规划云”理念构建广东省国土空间规划监测评估预警管理系统，确保上下贯通、横向联通，可快速获取指标体系所需的其他相关部门、行业的在线数据，提升广东国土空间大数据集成能力、精准监测评估预警能力和国土空间治理能力，有效支撑空间规划审批、实施、监测、评估和预警全过程，全面提升广东省国土空间治理体系和治理能力现代化水平。</w:t>
      </w:r>
    </w:p>
    <w:p>
      <w:pPr>
        <w:pStyle w:val="2"/>
        <w:ind w:firstLine="640"/>
      </w:pPr>
      <w:r>
        <w:rPr>
          <w:rFonts w:hint="eastAsia"/>
          <w:b w:val="0"/>
          <w:bCs w:val="0"/>
        </w:rPr>
        <w:t>三是系统建设为广东省各级国土空间规划的有效实施，实施监督以及实施效果的评估，提供了技术保障。</w:t>
      </w:r>
    </w:p>
    <w:p>
      <w:pPr>
        <w:numPr>
          <w:ilvl w:val="0"/>
          <w:numId w:val="2"/>
        </w:numPr>
        <w:spacing w:line="360" w:lineRule="auto"/>
        <w:ind w:firstLine="640" w:firstLineChars="200"/>
        <w:rPr>
          <w:rFonts w:eastAsia="仿宋_GB2312"/>
          <w:sz w:val="32"/>
          <w:szCs w:val="32"/>
        </w:rPr>
      </w:pPr>
      <w:r>
        <w:rPr>
          <w:rFonts w:eastAsia="仿宋_GB2312"/>
          <w:sz w:val="32"/>
          <w:szCs w:val="32"/>
        </w:rPr>
        <w:t>技术联盟：</w:t>
      </w:r>
    </w:p>
    <w:p>
      <w:pPr>
        <w:spacing w:line="360" w:lineRule="auto"/>
        <w:ind w:firstLine="640" w:firstLineChars="200"/>
        <w:rPr>
          <w:rFonts w:eastAsia="仿宋_GB2312"/>
          <w:sz w:val="32"/>
          <w:szCs w:val="32"/>
        </w:rPr>
      </w:pPr>
      <w:r>
        <w:rPr>
          <w:rFonts w:hint="eastAsia" w:eastAsia="仿宋_GB2312"/>
          <w:sz w:val="32"/>
          <w:szCs w:val="32"/>
        </w:rPr>
        <w:t>主要产出包括：</w:t>
      </w:r>
    </w:p>
    <w:p>
      <w:pPr>
        <w:spacing w:line="360" w:lineRule="auto"/>
        <w:ind w:firstLine="640" w:firstLineChars="200"/>
        <w:rPr>
          <w:rFonts w:eastAsia="仿宋_GB2312"/>
          <w:sz w:val="32"/>
          <w:szCs w:val="32"/>
        </w:rPr>
      </w:pPr>
      <w:r>
        <w:rPr>
          <w:rFonts w:hint="eastAsia" w:eastAsia="仿宋_GB2312"/>
          <w:sz w:val="32"/>
          <w:szCs w:val="32"/>
        </w:rPr>
        <w:t>一是成立了全国首家国土空间规划技术联盟，联盟包括中国城市规划设计研究院、中国土地勘察规划院、国家海洋局南海规划与环境研究院、北京大学深圳研究生院、中山大学基础客源与规划学院、广东省科学院广州地理研究所、广东省产业发展研究院、广东省国土资源测绘院、广东省土地调查规划院、广东省土地开展整治中心、广东省国土资源技术中心、广东省海洋发展规划研究中心、广东省林业调查规划院、广东省环境科学研究院、广东省城乡规划设计研究院、广东省交通运输规划研究中心、广东省水利电力勘测设计研究院、中国城市规划设计研究院深圳分院、深圳市城市规划设计研究有限公司、珠海市规划设计研究院、汕头市城市规划设计研究院、韶关市城乡规划城市设计研究院、湛江市规划勘测设计院、深圳市蕾熬规划设计咨询股份有限公司、深圳市城市空间规划建筑建设有限公司。</w:t>
      </w:r>
    </w:p>
    <w:p>
      <w:pPr>
        <w:spacing w:line="360" w:lineRule="auto"/>
        <w:ind w:firstLine="640" w:firstLineChars="200"/>
        <w:rPr>
          <w:rFonts w:eastAsia="仿宋_GB2312"/>
          <w:sz w:val="32"/>
          <w:szCs w:val="32"/>
        </w:rPr>
      </w:pPr>
      <w:r>
        <w:rPr>
          <w:rFonts w:hint="eastAsia" w:eastAsia="仿宋_GB2312"/>
          <w:sz w:val="32"/>
          <w:szCs w:val="32"/>
        </w:rPr>
        <w:t>二是完成了6</w:t>
      </w:r>
      <w:r>
        <w:rPr>
          <w:rFonts w:eastAsia="仿宋_GB2312"/>
          <w:sz w:val="32"/>
          <w:szCs w:val="32"/>
        </w:rPr>
        <w:t>个专题研究和珠三角空间规划编制工作，详见表1</w:t>
      </w:r>
      <w:r>
        <w:rPr>
          <w:rFonts w:hint="eastAsia" w:eastAsia="仿宋_GB2312"/>
          <w:sz w:val="32"/>
          <w:szCs w:val="32"/>
        </w:rPr>
        <w:t>1</w:t>
      </w:r>
      <w:r>
        <w:rPr>
          <w:rFonts w:eastAsia="仿宋_GB2312"/>
          <w:sz w:val="32"/>
          <w:szCs w:val="32"/>
        </w:rPr>
        <w:t>：</w:t>
      </w:r>
    </w:p>
    <w:p>
      <w:pPr>
        <w:pStyle w:val="2"/>
        <w:ind w:firstLine="643"/>
        <w:rPr>
          <w:rFonts w:ascii="Times New Roman" w:hAnsi="Times New Roman"/>
        </w:rPr>
      </w:pPr>
    </w:p>
    <w:p/>
    <w:p>
      <w:pPr>
        <w:jc w:val="center"/>
      </w:pPr>
      <w:r>
        <w:rPr>
          <w:rFonts w:eastAsia="黑体"/>
          <w:sz w:val="28"/>
          <w:szCs w:val="28"/>
        </w:rPr>
        <w:t>表1</w:t>
      </w:r>
      <w:r>
        <w:rPr>
          <w:rFonts w:hint="eastAsia" w:eastAsia="黑体"/>
          <w:sz w:val="28"/>
          <w:szCs w:val="28"/>
        </w:rPr>
        <w:t>1</w:t>
      </w:r>
      <w:r>
        <w:rPr>
          <w:rFonts w:eastAsia="黑体"/>
          <w:sz w:val="28"/>
          <w:szCs w:val="28"/>
        </w:rPr>
        <w:t xml:space="preserve"> 技术联盟绩效实现情况表</w:t>
      </w:r>
    </w:p>
    <w:tbl>
      <w:tblPr>
        <w:tblStyle w:val="15"/>
        <w:tblW w:w="8266" w:type="dxa"/>
        <w:jc w:val="center"/>
        <w:tblInd w:w="0" w:type="dxa"/>
        <w:tblLayout w:type="fixed"/>
        <w:tblCellMar>
          <w:top w:w="0" w:type="dxa"/>
          <w:left w:w="0" w:type="dxa"/>
          <w:bottom w:w="0" w:type="dxa"/>
          <w:right w:w="0" w:type="dxa"/>
        </w:tblCellMar>
      </w:tblPr>
      <w:tblGrid>
        <w:gridCol w:w="846"/>
        <w:gridCol w:w="7420"/>
      </w:tblGrid>
      <w:tr>
        <w:tblPrEx>
          <w:tblLayout w:type="fixed"/>
          <w:tblCellMar>
            <w:top w:w="0" w:type="dxa"/>
            <w:left w:w="0" w:type="dxa"/>
            <w:bottom w:w="0" w:type="dxa"/>
            <w:right w:w="0" w:type="dxa"/>
          </w:tblCellMar>
        </w:tblPrEx>
        <w:trPr>
          <w:trHeight w:val="272"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8"/>
                <w:szCs w:val="28"/>
              </w:rPr>
            </w:pPr>
            <w:bookmarkStart w:id="37" w:name="_Toc19977"/>
            <w:bookmarkStart w:id="38" w:name="_Toc6123"/>
            <w:bookmarkStart w:id="39" w:name="_Toc26184"/>
            <w:bookmarkStart w:id="40" w:name="_Toc5561"/>
            <w:bookmarkStart w:id="41" w:name="_Toc527305757"/>
            <w:r>
              <w:rPr>
                <w:rFonts w:eastAsia="仿宋_GB2312"/>
                <w:color w:val="000000"/>
                <w:kern w:val="0"/>
                <w:sz w:val="28"/>
                <w:szCs w:val="28"/>
                <w:lang w:bidi="ar"/>
              </w:rPr>
              <w:t>序号</w:t>
            </w:r>
          </w:p>
        </w:tc>
        <w:tc>
          <w:tcPr>
            <w:tcW w:w="742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8"/>
                <w:szCs w:val="28"/>
              </w:rPr>
            </w:pPr>
            <w:r>
              <w:rPr>
                <w:rFonts w:eastAsia="仿宋_GB2312"/>
                <w:color w:val="000000"/>
                <w:kern w:val="0"/>
                <w:sz w:val="28"/>
                <w:szCs w:val="28"/>
                <w:lang w:bidi="ar"/>
              </w:rPr>
              <w:t>专题成果名称</w:t>
            </w:r>
          </w:p>
        </w:tc>
      </w:tr>
      <w:tr>
        <w:tblPrEx>
          <w:tblLayout w:type="fixed"/>
          <w:tblCellMar>
            <w:top w:w="0" w:type="dxa"/>
            <w:left w:w="0" w:type="dxa"/>
            <w:bottom w:w="0" w:type="dxa"/>
            <w:right w:w="0" w:type="dxa"/>
          </w:tblCellMar>
        </w:tblPrEx>
        <w:trPr>
          <w:trHeight w:val="272"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8"/>
                <w:szCs w:val="28"/>
              </w:rPr>
            </w:pPr>
            <w:r>
              <w:rPr>
                <w:rFonts w:eastAsia="仿宋_GB2312"/>
                <w:color w:val="000000"/>
                <w:kern w:val="0"/>
                <w:sz w:val="28"/>
                <w:szCs w:val="28"/>
                <w:lang w:bidi="ar"/>
              </w:rPr>
              <w:t>1</w:t>
            </w:r>
          </w:p>
        </w:tc>
        <w:tc>
          <w:tcPr>
            <w:tcW w:w="742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8"/>
                <w:szCs w:val="28"/>
              </w:rPr>
            </w:pPr>
            <w:r>
              <w:rPr>
                <w:rFonts w:eastAsia="仿宋_GB2312"/>
                <w:color w:val="000000"/>
                <w:kern w:val="0"/>
                <w:sz w:val="28"/>
                <w:szCs w:val="28"/>
                <w:lang w:bidi="ar"/>
              </w:rPr>
              <w:t>“一核一带一区”区域发展新格局的国土空间响应</w:t>
            </w:r>
          </w:p>
        </w:tc>
      </w:tr>
      <w:tr>
        <w:tblPrEx>
          <w:tblLayout w:type="fixed"/>
          <w:tblCellMar>
            <w:top w:w="0" w:type="dxa"/>
            <w:left w:w="0" w:type="dxa"/>
            <w:bottom w:w="0" w:type="dxa"/>
            <w:right w:w="0" w:type="dxa"/>
          </w:tblCellMar>
        </w:tblPrEx>
        <w:trPr>
          <w:trHeight w:val="272"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8"/>
                <w:szCs w:val="28"/>
              </w:rPr>
            </w:pPr>
            <w:r>
              <w:rPr>
                <w:rFonts w:eastAsia="仿宋_GB2312"/>
                <w:color w:val="000000"/>
                <w:kern w:val="0"/>
                <w:sz w:val="28"/>
                <w:szCs w:val="28"/>
                <w:lang w:bidi="ar"/>
              </w:rPr>
              <w:t>2</w:t>
            </w:r>
          </w:p>
        </w:tc>
        <w:tc>
          <w:tcPr>
            <w:tcW w:w="742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8"/>
                <w:szCs w:val="28"/>
              </w:rPr>
            </w:pPr>
            <w:r>
              <w:rPr>
                <w:rFonts w:eastAsia="仿宋_GB2312"/>
                <w:color w:val="000000"/>
                <w:kern w:val="0"/>
                <w:sz w:val="28"/>
                <w:szCs w:val="28"/>
                <w:lang w:bidi="ar"/>
              </w:rPr>
              <w:t>《粤港澳大湾区背景下的珠三角国土空间优化和区域协同发展》研究</w:t>
            </w:r>
          </w:p>
        </w:tc>
      </w:tr>
      <w:tr>
        <w:tblPrEx>
          <w:tblLayout w:type="fixed"/>
          <w:tblCellMar>
            <w:top w:w="0" w:type="dxa"/>
            <w:left w:w="0" w:type="dxa"/>
            <w:bottom w:w="0" w:type="dxa"/>
            <w:right w:w="0" w:type="dxa"/>
          </w:tblCellMar>
        </w:tblPrEx>
        <w:trPr>
          <w:trHeight w:val="272"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8"/>
                <w:szCs w:val="28"/>
              </w:rPr>
            </w:pPr>
            <w:r>
              <w:rPr>
                <w:rFonts w:eastAsia="仿宋_GB2312"/>
                <w:color w:val="000000"/>
                <w:kern w:val="0"/>
                <w:sz w:val="28"/>
                <w:szCs w:val="28"/>
                <w:lang w:bidi="ar"/>
              </w:rPr>
              <w:t>3</w:t>
            </w:r>
          </w:p>
        </w:tc>
        <w:tc>
          <w:tcPr>
            <w:tcW w:w="742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8"/>
                <w:szCs w:val="28"/>
              </w:rPr>
            </w:pPr>
            <w:r>
              <w:rPr>
                <w:rFonts w:eastAsia="仿宋_GB2312"/>
                <w:color w:val="000000"/>
                <w:kern w:val="0"/>
                <w:sz w:val="28"/>
                <w:szCs w:val="28"/>
                <w:lang w:bidi="ar"/>
              </w:rPr>
              <w:t>广东省主体功能区分区优化及粤北生态发展区支持政策研究</w:t>
            </w:r>
          </w:p>
        </w:tc>
      </w:tr>
      <w:tr>
        <w:tblPrEx>
          <w:tblLayout w:type="fixed"/>
          <w:tblCellMar>
            <w:top w:w="0" w:type="dxa"/>
            <w:left w:w="0" w:type="dxa"/>
            <w:bottom w:w="0" w:type="dxa"/>
            <w:right w:w="0" w:type="dxa"/>
          </w:tblCellMar>
        </w:tblPrEx>
        <w:trPr>
          <w:trHeight w:val="272"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8"/>
                <w:szCs w:val="28"/>
              </w:rPr>
            </w:pPr>
            <w:r>
              <w:rPr>
                <w:rFonts w:eastAsia="仿宋_GB2312"/>
                <w:color w:val="000000"/>
                <w:kern w:val="0"/>
                <w:sz w:val="28"/>
                <w:szCs w:val="28"/>
                <w:lang w:bidi="ar"/>
              </w:rPr>
              <w:t>4</w:t>
            </w:r>
          </w:p>
        </w:tc>
        <w:tc>
          <w:tcPr>
            <w:tcW w:w="742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8"/>
                <w:szCs w:val="28"/>
              </w:rPr>
            </w:pPr>
            <w:r>
              <w:rPr>
                <w:rFonts w:eastAsia="仿宋_GB2312"/>
                <w:color w:val="000000"/>
                <w:kern w:val="0"/>
                <w:sz w:val="28"/>
                <w:szCs w:val="28"/>
                <w:lang w:bidi="ar"/>
              </w:rPr>
              <w:t>科学编制实施乡村规划促进乡村振兴研究</w:t>
            </w:r>
          </w:p>
        </w:tc>
      </w:tr>
      <w:tr>
        <w:tblPrEx>
          <w:tblLayout w:type="fixed"/>
          <w:tblCellMar>
            <w:top w:w="0" w:type="dxa"/>
            <w:left w:w="0" w:type="dxa"/>
            <w:bottom w:w="0" w:type="dxa"/>
            <w:right w:w="0" w:type="dxa"/>
          </w:tblCellMar>
        </w:tblPrEx>
        <w:trPr>
          <w:trHeight w:val="272"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8"/>
                <w:szCs w:val="28"/>
              </w:rPr>
            </w:pPr>
            <w:r>
              <w:rPr>
                <w:rFonts w:eastAsia="仿宋_GB2312"/>
                <w:color w:val="000000"/>
                <w:kern w:val="0"/>
                <w:sz w:val="28"/>
                <w:szCs w:val="28"/>
                <w:lang w:bidi="ar"/>
              </w:rPr>
              <w:t>5</w:t>
            </w:r>
          </w:p>
        </w:tc>
        <w:tc>
          <w:tcPr>
            <w:tcW w:w="742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8"/>
                <w:szCs w:val="28"/>
              </w:rPr>
            </w:pPr>
            <w:r>
              <w:rPr>
                <w:rFonts w:eastAsia="仿宋_GB2312"/>
                <w:color w:val="000000"/>
                <w:kern w:val="0"/>
                <w:sz w:val="28"/>
                <w:szCs w:val="28"/>
                <w:lang w:bidi="ar"/>
              </w:rPr>
              <w:t>新型城镇化战略下的广东省城镇（人口）、用地发展趋势和支撑关系研究</w:t>
            </w:r>
          </w:p>
        </w:tc>
      </w:tr>
      <w:tr>
        <w:tblPrEx>
          <w:tblLayout w:type="fixed"/>
          <w:tblCellMar>
            <w:top w:w="0" w:type="dxa"/>
            <w:left w:w="0" w:type="dxa"/>
            <w:bottom w:w="0" w:type="dxa"/>
            <w:right w:w="0" w:type="dxa"/>
          </w:tblCellMar>
        </w:tblPrEx>
        <w:trPr>
          <w:trHeight w:val="272"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center"/>
              <w:textAlignment w:val="center"/>
              <w:rPr>
                <w:rFonts w:eastAsia="仿宋_GB2312"/>
                <w:color w:val="000000"/>
                <w:sz w:val="28"/>
                <w:szCs w:val="28"/>
              </w:rPr>
            </w:pPr>
            <w:r>
              <w:rPr>
                <w:rFonts w:eastAsia="仿宋_GB2312"/>
                <w:color w:val="000000"/>
                <w:kern w:val="0"/>
                <w:sz w:val="28"/>
                <w:szCs w:val="28"/>
                <w:lang w:bidi="ar"/>
              </w:rPr>
              <w:t>6</w:t>
            </w:r>
          </w:p>
        </w:tc>
        <w:tc>
          <w:tcPr>
            <w:tcW w:w="742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widowControl/>
              <w:jc w:val="left"/>
              <w:textAlignment w:val="center"/>
              <w:rPr>
                <w:rFonts w:eastAsia="仿宋_GB2312"/>
                <w:color w:val="000000"/>
                <w:sz w:val="28"/>
                <w:szCs w:val="28"/>
              </w:rPr>
            </w:pPr>
            <w:r>
              <w:rPr>
                <w:rFonts w:eastAsia="仿宋_GB2312"/>
                <w:color w:val="000000"/>
                <w:kern w:val="0"/>
                <w:sz w:val="28"/>
                <w:szCs w:val="28"/>
                <w:lang w:bidi="ar"/>
              </w:rPr>
              <w:t>规划修改流程优化及相关数据整理入库</w:t>
            </w:r>
          </w:p>
        </w:tc>
      </w:tr>
      <w:bookmarkEnd w:id="37"/>
      <w:bookmarkEnd w:id="38"/>
      <w:bookmarkEnd w:id="39"/>
      <w:bookmarkEnd w:id="40"/>
    </w:tbl>
    <w:p>
      <w:pPr>
        <w:spacing w:line="360" w:lineRule="auto"/>
        <w:ind w:firstLine="640" w:firstLineChars="200"/>
        <w:outlineLvl w:val="3"/>
        <w:rPr>
          <w:rFonts w:eastAsia="仿宋_GB2312"/>
          <w:kern w:val="28"/>
          <w:sz w:val="32"/>
          <w:szCs w:val="32"/>
        </w:rPr>
      </w:pPr>
      <w:bookmarkStart w:id="42" w:name="_Toc21899"/>
      <w:bookmarkStart w:id="43" w:name="_Toc508"/>
    </w:p>
    <w:p>
      <w:pPr>
        <w:pStyle w:val="2"/>
        <w:ind w:firstLine="640"/>
      </w:pPr>
      <w:r>
        <w:rPr>
          <w:rFonts w:hint="eastAsia" w:ascii="Times New Roman" w:hAnsi="Times New Roman"/>
          <w:b w:val="0"/>
          <w:bCs w:val="0"/>
          <w:kern w:val="28"/>
        </w:rPr>
        <w:t>珠三角空间规划尚在编制中，该指标扣3分。</w:t>
      </w:r>
    </w:p>
    <w:p>
      <w:pPr>
        <w:spacing w:line="360" w:lineRule="auto"/>
        <w:ind w:firstLine="640" w:firstLineChars="200"/>
        <w:outlineLvl w:val="3"/>
        <w:rPr>
          <w:rFonts w:eastAsia="仿宋_GB2312"/>
          <w:kern w:val="28"/>
          <w:sz w:val="32"/>
          <w:szCs w:val="32"/>
        </w:rPr>
      </w:pPr>
      <w:r>
        <w:rPr>
          <w:rFonts w:hint="eastAsia" w:eastAsia="仿宋_GB2312"/>
          <w:kern w:val="28"/>
          <w:sz w:val="32"/>
          <w:szCs w:val="32"/>
        </w:rPr>
        <w:t>主要绩效包括：</w:t>
      </w:r>
    </w:p>
    <w:p>
      <w:pPr>
        <w:spacing w:line="360" w:lineRule="auto"/>
        <w:ind w:firstLine="640" w:firstLineChars="200"/>
        <w:outlineLvl w:val="3"/>
        <w:rPr>
          <w:rFonts w:eastAsia="仿宋_GB2312"/>
          <w:kern w:val="28"/>
          <w:sz w:val="32"/>
          <w:szCs w:val="32"/>
        </w:rPr>
      </w:pPr>
      <w:r>
        <w:rPr>
          <w:rFonts w:hint="eastAsia" w:eastAsia="仿宋_GB2312"/>
          <w:kern w:val="28"/>
          <w:sz w:val="32"/>
          <w:szCs w:val="32"/>
        </w:rPr>
        <w:t>一是广东省国土空间规划技术联盟（下称“规划联盟”）在广州成立。汇聚了城乡规划、土地利用规划、产业经济、海洋、林业、环保、交通、水利等多行业的技术机构和专家团队，为各级国土空间规划工作提供专业技术支撑和政策研究服务，加快推进全省统一的国土空间规划体系构建。</w:t>
      </w:r>
    </w:p>
    <w:p>
      <w:pPr>
        <w:spacing w:line="360" w:lineRule="auto"/>
        <w:ind w:firstLine="640" w:firstLineChars="200"/>
        <w:outlineLvl w:val="3"/>
      </w:pPr>
      <w:r>
        <w:rPr>
          <w:rFonts w:hint="eastAsia" w:eastAsia="仿宋_GB2312"/>
          <w:kern w:val="28"/>
          <w:sz w:val="32"/>
          <w:szCs w:val="32"/>
        </w:rPr>
        <w:t>二是联盟成员单位充分利用这个平台，加强交流、互通信息、共享成果、深化合作，共同为优化广东开发和发展格局，促进形成“一核一带一区”区域发展新格局提供支撑。</w:t>
      </w:r>
    </w:p>
    <w:p>
      <w:pPr>
        <w:ind w:firstLine="643" w:firstLineChars="200"/>
        <w:jc w:val="left"/>
        <w:outlineLvl w:val="1"/>
        <w:rPr>
          <w:rFonts w:eastAsia="楷体_GB2312"/>
          <w:b/>
          <w:sz w:val="32"/>
        </w:rPr>
      </w:pPr>
      <w:r>
        <w:rPr>
          <w:rFonts w:eastAsia="楷体_GB2312"/>
          <w:b/>
          <w:sz w:val="32"/>
        </w:rPr>
        <w:t>（三）专项资金使用绩效存在的问题</w:t>
      </w:r>
      <w:bookmarkEnd w:id="42"/>
      <w:bookmarkEnd w:id="43"/>
    </w:p>
    <w:p>
      <w:pPr>
        <w:pStyle w:val="3"/>
        <w:widowControl/>
        <w:shd w:val="clear" w:color="auto" w:fill="FFFFFF"/>
        <w:spacing w:beforeAutospacing="0" w:afterAutospacing="0" w:line="420" w:lineRule="atLeast"/>
        <w:ind w:firstLine="640" w:firstLineChars="200"/>
        <w:rPr>
          <w:rFonts w:hint="default" w:eastAsia="仿宋_GB2312"/>
          <w:b w:val="0"/>
          <w:kern w:val="28"/>
          <w:sz w:val="32"/>
          <w:szCs w:val="32"/>
        </w:rPr>
      </w:pPr>
      <w:r>
        <w:rPr>
          <w:rFonts w:eastAsia="仿宋_GB2312"/>
          <w:b w:val="0"/>
          <w:kern w:val="28"/>
          <w:sz w:val="32"/>
          <w:szCs w:val="32"/>
        </w:rPr>
        <w:t>1.国家政策以及技术方面的调整，影响省国土空间规划编制的进度。如2019年9月20日，国新办举行改革规划许可、用地审批和改进国土空间规划审查有关情况发布会。自然资源部副部长赵龙在会上介绍，自然资源部近期在国土空间规划领域集中推进两项改革：一是改革规划许可和用地审批，推进“多审合一、多证合一”，主要是面向企业和群众；二是改革国土空间规划审查报批制度，主要是面向地方人民政府。2019年11月1日，中共中央办公厅 国务院办公厅印发《关于在国土空间规划中统筹划定落实三条控制线的指导意见》，提出“到2020年年底，结合国土空间规划编制，完成三条控制线划定和落地，协调解决矛盾冲突，纳入全国统一、多规合一的国土空间基础信息平台，形成一张底图，实现部门信息共享，实行严格管控。到2035年，通过加强国土空间规划实施管理，严守三条控制线，引导形成科学适度有序的国土空间布局体系。”。广东省自然资源厅在省国土空间规划编制过程中，对国务院、自然资源部提出的新的要求，通过调整规划编制内容、方向，积极在规划编制中予以落实，这些调整，对规划编制的进度形成了一定的影响。</w:t>
      </w:r>
    </w:p>
    <w:p>
      <w:pPr>
        <w:spacing w:line="360" w:lineRule="auto"/>
        <w:ind w:firstLine="640" w:firstLineChars="200"/>
        <w:outlineLvl w:val="3"/>
        <w:rPr>
          <w:rFonts w:eastAsia="仿宋_GB2312"/>
          <w:kern w:val="28"/>
          <w:sz w:val="32"/>
          <w:szCs w:val="32"/>
        </w:rPr>
      </w:pPr>
      <w:r>
        <w:rPr>
          <w:rFonts w:hint="eastAsia" w:eastAsia="仿宋_GB2312"/>
          <w:kern w:val="28"/>
          <w:sz w:val="32"/>
          <w:szCs w:val="32"/>
        </w:rPr>
        <w:t>2.</w:t>
      </w:r>
      <w:r>
        <w:rPr>
          <w:rFonts w:eastAsia="仿宋_GB2312"/>
          <w:kern w:val="28"/>
          <w:sz w:val="32"/>
          <w:szCs w:val="32"/>
        </w:rPr>
        <w:t>本项目主体工作是国土空间规划编制、相关专题研究、信息系统建设等。对于这些工作，目前考核的主要是完成数量，对于完成质量主要是通过专家评审的方式进行把关，但对于规划应用而言，是需要一个比较长的时间，才能在实际应用中体现规划编制的真正水平：是否有效反映了社会经济发展对规划编制的要求、是否有效引导社会经济发展等，所以在规划编制发布一段时间后再进行绩效评价，才能更好地评价规划编制、专题研究、系统建设所应取得的绩效。</w:t>
      </w:r>
    </w:p>
    <w:p>
      <w:pPr>
        <w:widowControl/>
        <w:spacing w:before="312" w:beforeLines="100"/>
        <w:ind w:firstLine="640" w:firstLineChars="200"/>
        <w:jc w:val="left"/>
        <w:outlineLvl w:val="0"/>
        <w:rPr>
          <w:rFonts w:eastAsia="黑体"/>
          <w:sz w:val="32"/>
          <w:szCs w:val="32"/>
        </w:rPr>
      </w:pPr>
      <w:bookmarkStart w:id="44" w:name="_Toc3726"/>
      <w:bookmarkStart w:id="45" w:name="_Toc16672"/>
      <w:bookmarkStart w:id="46" w:name="_Toc1232"/>
      <w:r>
        <w:rPr>
          <w:rFonts w:eastAsia="黑体"/>
          <w:color w:val="000000"/>
          <w:kern w:val="0"/>
          <w:sz w:val="32"/>
          <w:szCs w:val="32"/>
          <w:lang w:bidi="ar"/>
        </w:rPr>
        <w:t>三、改进意见</w:t>
      </w:r>
      <w:bookmarkEnd w:id="44"/>
      <w:bookmarkEnd w:id="45"/>
      <w:bookmarkEnd w:id="46"/>
      <w:r>
        <w:rPr>
          <w:rFonts w:eastAsia="黑体"/>
          <w:color w:val="000000"/>
          <w:kern w:val="0"/>
          <w:sz w:val="32"/>
          <w:szCs w:val="32"/>
          <w:lang w:bidi="ar"/>
        </w:rPr>
        <w:t xml:space="preserve"> </w:t>
      </w:r>
    </w:p>
    <w:p>
      <w:pPr>
        <w:widowControl/>
        <w:ind w:firstLine="643" w:firstLineChars="200"/>
        <w:jc w:val="left"/>
        <w:rPr>
          <w:rFonts w:eastAsia="楷体"/>
          <w:color w:val="000000"/>
          <w:kern w:val="0"/>
          <w:sz w:val="32"/>
          <w:szCs w:val="32"/>
          <w:lang w:bidi="ar"/>
        </w:rPr>
      </w:pPr>
      <w:r>
        <w:rPr>
          <w:rFonts w:eastAsia="楷体"/>
          <w:b/>
          <w:bCs/>
          <w:color w:val="000000"/>
          <w:kern w:val="0"/>
          <w:sz w:val="32"/>
          <w:szCs w:val="32"/>
          <w:lang w:bidi="ar"/>
        </w:rPr>
        <w:t>（一）应有持续的资金投入</w:t>
      </w:r>
    </w:p>
    <w:p>
      <w:pPr>
        <w:widowControl/>
        <w:ind w:firstLine="640" w:firstLineChars="200"/>
        <w:jc w:val="left"/>
        <w:rPr>
          <w:rFonts w:eastAsia="仿宋_GB2312"/>
          <w:color w:val="000000"/>
          <w:kern w:val="0"/>
          <w:sz w:val="32"/>
          <w:szCs w:val="32"/>
          <w:lang w:bidi="ar"/>
        </w:rPr>
      </w:pPr>
      <w:r>
        <w:rPr>
          <w:rFonts w:eastAsia="仿宋_GB2312"/>
          <w:color w:val="000000"/>
          <w:kern w:val="0"/>
          <w:sz w:val="32"/>
          <w:szCs w:val="32"/>
          <w:lang w:bidi="ar"/>
        </w:rPr>
        <w:t>国土空间规划编制是省自然资源厅依法履行行政职能的基础，而规划编制工作是政策性和技术性均较强的一项工作。在规划编制完成后，对规划实施进行评估、监督和调整，是国土空间规划发挥应有效果所必需开展的工作，故国土空间规划需要持续的资金保障，才能有效发挥效益。</w:t>
      </w:r>
    </w:p>
    <w:p>
      <w:pPr>
        <w:ind w:firstLine="643" w:firstLineChars="200"/>
        <w:rPr>
          <w:rFonts w:eastAsia="楷体"/>
          <w:b/>
          <w:bCs/>
          <w:color w:val="000000"/>
          <w:kern w:val="0"/>
          <w:sz w:val="32"/>
          <w:szCs w:val="32"/>
          <w:lang w:bidi="ar"/>
        </w:rPr>
      </w:pPr>
      <w:r>
        <w:rPr>
          <w:rFonts w:eastAsia="楷体"/>
          <w:b/>
          <w:bCs/>
          <w:color w:val="000000"/>
          <w:kern w:val="0"/>
          <w:sz w:val="32"/>
          <w:szCs w:val="32"/>
          <w:lang w:bidi="ar"/>
        </w:rPr>
        <w:t>（二）建议在2025年对本次规划的绩效进行评价</w:t>
      </w:r>
    </w:p>
    <w:p>
      <w:pPr>
        <w:ind w:firstLine="640" w:firstLineChars="200"/>
        <w:rPr>
          <w:rFonts w:eastAsia="仿宋_GB2312"/>
          <w:color w:val="000000"/>
          <w:kern w:val="0"/>
          <w:sz w:val="32"/>
          <w:szCs w:val="32"/>
          <w:lang w:bidi="ar"/>
        </w:rPr>
        <w:sectPr>
          <w:footerReference r:id="rId9" w:type="default"/>
          <w:pgSz w:w="11850" w:h="16783"/>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eastAsia="仿宋_GB2312"/>
          <w:color w:val="000000"/>
          <w:kern w:val="0"/>
          <w:sz w:val="32"/>
          <w:szCs w:val="32"/>
          <w:lang w:bidi="ar"/>
        </w:rPr>
        <w:t>本次规划规划期限为2020年至2035年，近期目标年为2025年，规划目标年为2035年，展望至2050年。在2025年对本次规划进行绩效评价，可以较好的反映本次规划完成的质量以及是否取得应该取得的效果，符合规划编制项目的规律，同时，为下一轮空间规划编制提供帮助。</w:t>
      </w:r>
      <w:bookmarkEnd w:id="41"/>
    </w:p>
    <w:tbl>
      <w:tblPr>
        <w:tblStyle w:val="15"/>
        <w:tblW w:w="14731" w:type="dxa"/>
        <w:tblInd w:w="0" w:type="dxa"/>
        <w:tblLayout w:type="fixed"/>
        <w:tblCellMar>
          <w:top w:w="0" w:type="dxa"/>
          <w:left w:w="0" w:type="dxa"/>
          <w:bottom w:w="0" w:type="dxa"/>
          <w:right w:w="0" w:type="dxa"/>
        </w:tblCellMar>
      </w:tblPr>
      <w:tblGrid>
        <w:gridCol w:w="338"/>
        <w:gridCol w:w="236"/>
        <w:gridCol w:w="102"/>
        <w:gridCol w:w="325"/>
        <w:gridCol w:w="238"/>
        <w:gridCol w:w="113"/>
        <w:gridCol w:w="834"/>
        <w:gridCol w:w="330"/>
        <w:gridCol w:w="8"/>
        <w:gridCol w:w="1095"/>
        <w:gridCol w:w="339"/>
        <w:gridCol w:w="1662"/>
        <w:gridCol w:w="763"/>
        <w:gridCol w:w="411"/>
        <w:gridCol w:w="1695"/>
        <w:gridCol w:w="632"/>
        <w:gridCol w:w="482"/>
        <w:gridCol w:w="790"/>
        <w:gridCol w:w="657"/>
        <w:gridCol w:w="1089"/>
        <w:gridCol w:w="1265"/>
        <w:gridCol w:w="1017"/>
        <w:gridCol w:w="274"/>
        <w:gridCol w:w="36"/>
      </w:tblGrid>
      <w:tr>
        <w:tblPrEx>
          <w:tblLayout w:type="fixed"/>
          <w:tblCellMar>
            <w:top w:w="0" w:type="dxa"/>
            <w:left w:w="0" w:type="dxa"/>
            <w:bottom w:w="0" w:type="dxa"/>
            <w:right w:w="0" w:type="dxa"/>
          </w:tblCellMar>
        </w:tblPrEx>
        <w:trPr>
          <w:trHeight w:val="405" w:hRule="atLeast"/>
        </w:trPr>
        <w:tc>
          <w:tcPr>
            <w:tcW w:w="574" w:type="dxa"/>
            <w:gridSpan w:val="2"/>
            <w:tcBorders>
              <w:top w:val="nil"/>
              <w:left w:val="nil"/>
              <w:bottom w:val="nil"/>
              <w:right w:val="nil"/>
            </w:tcBorders>
            <w:shd w:val="clear" w:color="auto" w:fill="auto"/>
            <w:noWrap/>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附件1</w:t>
            </w:r>
          </w:p>
        </w:tc>
        <w:tc>
          <w:tcPr>
            <w:tcW w:w="665" w:type="dxa"/>
            <w:gridSpan w:val="3"/>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1277" w:type="dxa"/>
            <w:gridSpan w:val="3"/>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3104" w:type="dxa"/>
            <w:gridSpan w:val="4"/>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1174" w:type="dxa"/>
            <w:gridSpan w:val="2"/>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1695" w:type="dxa"/>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1904" w:type="dxa"/>
            <w:gridSpan w:val="3"/>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1746" w:type="dxa"/>
            <w:gridSpan w:val="2"/>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1265" w:type="dxa"/>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1017" w:type="dxa"/>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274" w:type="dxa"/>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36" w:type="dxa"/>
            <w:tcBorders>
              <w:top w:val="nil"/>
              <w:left w:val="nil"/>
              <w:bottom w:val="nil"/>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81" w:hRule="atLeast"/>
        </w:trPr>
        <w:tc>
          <w:tcPr>
            <w:tcW w:w="14731" w:type="dxa"/>
            <w:gridSpan w:val="24"/>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方正小标宋简体" w:hAnsi="方正小标宋简体" w:eastAsia="方正小标宋简体" w:cs="方正小标宋简体"/>
                <w:color w:val="000000"/>
                <w:sz w:val="16"/>
                <w:szCs w:val="16"/>
              </w:rPr>
            </w:pPr>
            <w:r>
              <w:rPr>
                <w:rFonts w:hint="eastAsia" w:ascii="方正小标宋简体" w:hAnsi="方正小标宋简体" w:eastAsia="方正小标宋简体" w:cs="方正小标宋简体"/>
                <w:color w:val="000000"/>
                <w:kern w:val="0"/>
                <w:sz w:val="16"/>
                <w:szCs w:val="16"/>
                <w:lang w:bidi="ar"/>
              </w:rPr>
              <w:t>2019年度国土空间规划项目绩效自评信息指标评分表</w:t>
            </w:r>
          </w:p>
        </w:tc>
      </w:tr>
      <w:tr>
        <w:tblPrEx>
          <w:tblLayout w:type="fixed"/>
          <w:tblCellMar>
            <w:top w:w="0" w:type="dxa"/>
            <w:left w:w="0" w:type="dxa"/>
            <w:bottom w:w="0" w:type="dxa"/>
            <w:right w:w="0" w:type="dxa"/>
          </w:tblCellMar>
        </w:tblPrEx>
        <w:trPr>
          <w:trHeight w:val="519" w:hRule="atLeast"/>
        </w:trPr>
        <w:tc>
          <w:tcPr>
            <w:tcW w:w="2516" w:type="dxa"/>
            <w:gridSpan w:val="8"/>
            <w:tcBorders>
              <w:top w:val="nil"/>
              <w:left w:val="nil"/>
              <w:bottom w:val="single" w:color="auto" w:sz="4" w:space="0"/>
              <w:right w:val="nil"/>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填报单位名称：广东省自然资源厅</w:t>
            </w:r>
          </w:p>
        </w:tc>
        <w:tc>
          <w:tcPr>
            <w:tcW w:w="3104" w:type="dxa"/>
            <w:gridSpan w:val="4"/>
            <w:tcBorders>
              <w:top w:val="nil"/>
              <w:left w:val="nil"/>
              <w:bottom w:val="single" w:color="auto" w:sz="4" w:space="0"/>
              <w:right w:val="nil"/>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174" w:type="dxa"/>
            <w:gridSpan w:val="2"/>
            <w:tcBorders>
              <w:top w:val="nil"/>
              <w:left w:val="nil"/>
              <w:bottom w:val="single" w:color="auto" w:sz="4" w:space="0"/>
              <w:right w:val="nil"/>
            </w:tcBorders>
            <w:shd w:val="clear" w:color="auto" w:fill="auto"/>
            <w:noWrap/>
            <w:tcMar>
              <w:top w:w="15" w:type="dxa"/>
              <w:left w:w="15" w:type="dxa"/>
              <w:right w:w="15" w:type="dxa"/>
            </w:tcMar>
            <w:vAlign w:val="center"/>
          </w:tcPr>
          <w:p>
            <w:pPr>
              <w:rPr>
                <w:rFonts w:ascii="宋体" w:hAnsi="宋体" w:cs="宋体"/>
                <w:color w:val="000000"/>
                <w:sz w:val="16"/>
                <w:szCs w:val="16"/>
              </w:rPr>
            </w:pPr>
          </w:p>
        </w:tc>
        <w:tc>
          <w:tcPr>
            <w:tcW w:w="1695" w:type="dxa"/>
            <w:tcBorders>
              <w:top w:val="nil"/>
              <w:left w:val="nil"/>
              <w:bottom w:val="single" w:color="auto" w:sz="4" w:space="0"/>
              <w:right w:val="nil"/>
            </w:tcBorders>
            <w:shd w:val="clear" w:color="auto" w:fill="auto"/>
            <w:noWrap/>
            <w:tcMar>
              <w:top w:w="15" w:type="dxa"/>
              <w:left w:w="15" w:type="dxa"/>
              <w:right w:w="15" w:type="dxa"/>
            </w:tcMar>
            <w:vAlign w:val="center"/>
          </w:tcPr>
          <w:p>
            <w:pPr>
              <w:rPr>
                <w:rFonts w:ascii="宋体" w:hAnsi="宋体" w:cs="宋体"/>
                <w:color w:val="000000"/>
                <w:sz w:val="16"/>
                <w:szCs w:val="16"/>
              </w:rPr>
            </w:pPr>
          </w:p>
        </w:tc>
        <w:tc>
          <w:tcPr>
            <w:tcW w:w="1904" w:type="dxa"/>
            <w:gridSpan w:val="3"/>
            <w:tcBorders>
              <w:top w:val="nil"/>
              <w:left w:val="nil"/>
              <w:bottom w:val="single" w:color="auto" w:sz="4" w:space="0"/>
              <w:right w:val="nil"/>
            </w:tcBorders>
            <w:shd w:val="clear" w:color="auto" w:fill="auto"/>
            <w:noWrap/>
            <w:tcMar>
              <w:top w:w="15" w:type="dxa"/>
              <w:left w:w="15" w:type="dxa"/>
              <w:right w:w="15" w:type="dxa"/>
            </w:tcMar>
            <w:vAlign w:val="center"/>
          </w:tcPr>
          <w:p>
            <w:pPr>
              <w:rPr>
                <w:rFonts w:ascii="宋体" w:hAnsi="宋体" w:cs="宋体"/>
                <w:color w:val="000000"/>
                <w:sz w:val="16"/>
                <w:szCs w:val="16"/>
              </w:rPr>
            </w:pPr>
          </w:p>
        </w:tc>
        <w:tc>
          <w:tcPr>
            <w:tcW w:w="1746" w:type="dxa"/>
            <w:gridSpan w:val="2"/>
            <w:tcBorders>
              <w:top w:val="nil"/>
              <w:left w:val="nil"/>
              <w:bottom w:val="single" w:color="auto" w:sz="4" w:space="0"/>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1265" w:type="dxa"/>
            <w:tcBorders>
              <w:top w:val="nil"/>
              <w:left w:val="nil"/>
              <w:bottom w:val="single" w:color="auto" w:sz="4" w:space="0"/>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1017" w:type="dxa"/>
            <w:tcBorders>
              <w:top w:val="nil"/>
              <w:left w:val="nil"/>
              <w:bottom w:val="single" w:color="auto" w:sz="4" w:space="0"/>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274" w:type="dxa"/>
            <w:tcBorders>
              <w:top w:val="nil"/>
              <w:left w:val="nil"/>
              <w:bottom w:val="single" w:color="auto" w:sz="4" w:space="0"/>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c>
          <w:tcPr>
            <w:tcW w:w="36" w:type="dxa"/>
            <w:tcBorders>
              <w:top w:val="nil"/>
              <w:left w:val="nil"/>
              <w:bottom w:val="single" w:color="auto" w:sz="4" w:space="0"/>
              <w:right w:val="nil"/>
            </w:tcBorders>
            <w:shd w:val="clear" w:color="auto" w:fill="auto"/>
            <w:noWrap/>
            <w:tcMar>
              <w:top w:w="15" w:type="dxa"/>
              <w:left w:w="15" w:type="dxa"/>
              <w:right w:w="15" w:type="dxa"/>
            </w:tcMar>
            <w:vAlign w:val="center"/>
          </w:tcPr>
          <w:p>
            <w:pP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474" w:hRule="atLeast"/>
        </w:trPr>
        <w:tc>
          <w:tcPr>
            <w:tcW w:w="574"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方正姚体" w:hAnsi="方正姚体" w:eastAsia="方正姚体" w:cs="方正姚体"/>
                <w:color w:val="000000"/>
                <w:sz w:val="16"/>
                <w:szCs w:val="16"/>
              </w:rPr>
            </w:pPr>
            <w:r>
              <w:rPr>
                <w:rFonts w:ascii="方正姚体" w:hAnsi="方正姚体" w:eastAsia="方正姚体" w:cs="方正姚体"/>
                <w:color w:val="000000"/>
                <w:kern w:val="0"/>
                <w:sz w:val="16"/>
                <w:szCs w:val="16"/>
                <w:lang w:bidi="ar"/>
              </w:rPr>
              <w:t>基本</w:t>
            </w:r>
            <w:r>
              <w:rPr>
                <w:rFonts w:ascii="方正姚体" w:hAnsi="方正姚体" w:eastAsia="方正姚体" w:cs="方正姚体"/>
                <w:color w:val="000000"/>
                <w:kern w:val="0"/>
                <w:sz w:val="16"/>
                <w:szCs w:val="16"/>
                <w:lang w:bidi="ar"/>
              </w:rPr>
              <w:br w:type="textWrapping"/>
            </w:r>
            <w:r>
              <w:rPr>
                <w:rFonts w:ascii="方正姚体" w:hAnsi="方正姚体" w:eastAsia="方正姚体" w:cs="方正姚体"/>
                <w:color w:val="000000"/>
                <w:kern w:val="0"/>
                <w:sz w:val="16"/>
                <w:szCs w:val="16"/>
                <w:lang w:bidi="ar"/>
              </w:rPr>
              <w:t>情况</w:t>
            </w:r>
          </w:p>
        </w:tc>
        <w:tc>
          <w:tcPr>
            <w:tcW w:w="1942"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项目名称</w:t>
            </w: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国土空间规划</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评价年度</w:t>
            </w:r>
          </w:p>
        </w:tc>
        <w:tc>
          <w:tcPr>
            <w:tcW w:w="16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w:t>
            </w: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评价金额</w:t>
            </w:r>
          </w:p>
        </w:tc>
        <w:tc>
          <w:tcPr>
            <w:tcW w:w="4338"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3100</w:t>
            </w:r>
          </w:p>
        </w:tc>
      </w:tr>
      <w:tr>
        <w:tblPrEx>
          <w:tblLayout w:type="fixed"/>
          <w:tblCellMar>
            <w:top w:w="0" w:type="dxa"/>
            <w:left w:w="0" w:type="dxa"/>
            <w:bottom w:w="0" w:type="dxa"/>
            <w:right w:w="0" w:type="dxa"/>
          </w:tblCellMar>
        </w:tblPrEx>
        <w:trPr>
          <w:trHeight w:val="38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1942"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联系人</w:t>
            </w: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联系电话</w:t>
            </w:r>
          </w:p>
        </w:tc>
        <w:tc>
          <w:tcPr>
            <w:tcW w:w="16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联系邮箱</w:t>
            </w:r>
          </w:p>
        </w:tc>
        <w:tc>
          <w:tcPr>
            <w:tcW w:w="4338"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r>
      <w:tr>
        <w:tblPrEx>
          <w:tblLayout w:type="fixed"/>
          <w:tblCellMar>
            <w:top w:w="0" w:type="dxa"/>
            <w:left w:w="0" w:type="dxa"/>
            <w:bottom w:w="0" w:type="dxa"/>
            <w:right w:w="0" w:type="dxa"/>
          </w:tblCellMar>
        </w:tblPrEx>
        <w:trPr>
          <w:trHeight w:val="130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1942"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实施文件依据</w:t>
            </w:r>
          </w:p>
        </w:tc>
        <w:tc>
          <w:tcPr>
            <w:tcW w:w="5973" w:type="dxa"/>
            <w:gridSpan w:val="7"/>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1.《中共中央 国务院关于统一规划体系更好发挥国家发展规划战略导向作用的意见》（中发〔2018〕44号）；2.《关于建立国土空间规划体系并监督实施的若干意见》（中发〔2019〕18号）；3.《自然资源部办公厅关于开展国土空间规划监测评估预警管理系统建设的通知》。</w:t>
            </w: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所属“财政事权”名称</w:t>
            </w:r>
          </w:p>
        </w:tc>
        <w:tc>
          <w:tcPr>
            <w:tcW w:w="4338" w:type="dxa"/>
            <w:gridSpan w:val="6"/>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国土空间规划</w:t>
            </w:r>
          </w:p>
        </w:tc>
      </w:tr>
      <w:tr>
        <w:tblPrEx>
          <w:tblLayout w:type="fixed"/>
          <w:tblCellMar>
            <w:top w:w="0" w:type="dxa"/>
            <w:left w:w="0" w:type="dxa"/>
            <w:bottom w:w="0" w:type="dxa"/>
            <w:right w:w="0" w:type="dxa"/>
          </w:tblCellMar>
        </w:tblPrEx>
        <w:trPr>
          <w:trHeight w:val="350" w:hRule="atLeast"/>
        </w:trPr>
        <w:tc>
          <w:tcPr>
            <w:tcW w:w="574"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方正姚体" w:hAnsi="方正姚体" w:eastAsia="方正姚体" w:cs="方正姚体"/>
                <w:color w:val="000000"/>
                <w:sz w:val="16"/>
                <w:szCs w:val="16"/>
              </w:rPr>
            </w:pPr>
            <w:r>
              <w:rPr>
                <w:rFonts w:ascii="方正姚体" w:hAnsi="方正姚体" w:eastAsia="方正姚体" w:cs="方正姚体"/>
                <w:color w:val="000000"/>
                <w:kern w:val="0"/>
                <w:sz w:val="16"/>
                <w:szCs w:val="16"/>
                <w:lang w:bidi="ar"/>
              </w:rPr>
              <w:t>资金</w:t>
            </w:r>
            <w:r>
              <w:rPr>
                <w:rFonts w:ascii="方正姚体" w:hAnsi="方正姚体" w:eastAsia="方正姚体" w:cs="方正姚体"/>
                <w:color w:val="000000"/>
                <w:kern w:val="0"/>
                <w:sz w:val="16"/>
                <w:szCs w:val="16"/>
                <w:lang w:bidi="ar"/>
              </w:rPr>
              <w:br w:type="textWrapping"/>
            </w:r>
            <w:r>
              <w:rPr>
                <w:rFonts w:ascii="方正姚体" w:hAnsi="方正姚体" w:eastAsia="方正姚体" w:cs="方正姚体"/>
                <w:color w:val="000000"/>
                <w:kern w:val="0"/>
                <w:sz w:val="16"/>
                <w:szCs w:val="16"/>
                <w:lang w:bidi="ar"/>
              </w:rPr>
              <w:t>情况</w:t>
            </w:r>
          </w:p>
        </w:tc>
        <w:tc>
          <w:tcPr>
            <w:tcW w:w="6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资金安排情况</w:t>
            </w: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预算计划安排</w:t>
            </w:r>
          </w:p>
        </w:tc>
        <w:tc>
          <w:tcPr>
            <w:tcW w:w="9623" w:type="dxa"/>
            <w:gridSpan w:val="1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3100</w:t>
            </w:r>
          </w:p>
        </w:tc>
        <w:tc>
          <w:tcPr>
            <w:tcW w:w="259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方正姚体" w:hAnsi="方正姚体" w:eastAsia="方正姚体" w:cs="方正姚体"/>
                <w:color w:val="000000"/>
                <w:sz w:val="16"/>
                <w:szCs w:val="16"/>
              </w:rPr>
            </w:pPr>
            <w:r>
              <w:rPr>
                <w:rFonts w:ascii="方正姚体" w:hAnsi="方正姚体" w:eastAsia="方正姚体" w:cs="方正姚体"/>
                <w:color w:val="000000"/>
                <w:kern w:val="0"/>
                <w:sz w:val="16"/>
                <w:szCs w:val="16"/>
                <w:lang w:bidi="ar"/>
              </w:rPr>
              <w:t>存在的主要问题与改进措施简述</w:t>
            </w:r>
          </w:p>
        </w:tc>
      </w:tr>
      <w:tr>
        <w:tblPrEx>
          <w:tblLayout w:type="fixed"/>
          <w:tblCellMar>
            <w:top w:w="0" w:type="dxa"/>
            <w:left w:w="0" w:type="dxa"/>
            <w:bottom w:w="0" w:type="dxa"/>
            <w:right w:w="0" w:type="dxa"/>
          </w:tblCellMar>
        </w:tblPrEx>
        <w:trPr>
          <w:trHeight w:val="43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实际分配下达</w:t>
            </w: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省本级</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3100</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转移支付至市县</w:t>
            </w:r>
          </w:p>
        </w:tc>
        <w:tc>
          <w:tcPr>
            <w:tcW w:w="3650"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方正姚体" w:hAnsi="方正姚体" w:eastAsia="方正姚体" w:cs="方正姚体"/>
                <w:color w:val="000000"/>
                <w:sz w:val="16"/>
                <w:szCs w:val="16"/>
              </w:rPr>
            </w:pPr>
            <w:r>
              <w:rPr>
                <w:rFonts w:ascii="方正姚体" w:hAnsi="方正姚体" w:eastAsia="方正姚体" w:cs="方正姚体"/>
                <w:color w:val="000000"/>
                <w:kern w:val="0"/>
                <w:sz w:val="16"/>
                <w:szCs w:val="16"/>
                <w:lang w:bidi="ar"/>
              </w:rPr>
              <w:t>无</w:t>
            </w:r>
          </w:p>
        </w:tc>
      </w:tr>
      <w:tr>
        <w:tblPrEx>
          <w:tblLayout w:type="fixed"/>
          <w:tblCellMar>
            <w:top w:w="0" w:type="dxa"/>
            <w:left w:w="0" w:type="dxa"/>
            <w:bottom w:w="0" w:type="dxa"/>
            <w:right w:w="0" w:type="dxa"/>
          </w:tblCellMar>
        </w:tblPrEx>
        <w:trPr>
          <w:trHeight w:val="38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分年度明细</w:t>
            </w: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年度</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预算计划安排</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实际安排额度</w:t>
            </w:r>
          </w:p>
        </w:tc>
        <w:tc>
          <w:tcPr>
            <w:tcW w:w="3650"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 xml:space="preserve">  资金下达文件及文号</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98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2500</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2500</w:t>
            </w:r>
          </w:p>
        </w:tc>
        <w:tc>
          <w:tcPr>
            <w:tcW w:w="3650"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关于下达2019年灾害防治及应急管理（地质灾害、城市地质、空间规划）资金（第一批）的通知 粤财工〔2019〕41号</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79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600</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600</w:t>
            </w:r>
          </w:p>
        </w:tc>
        <w:tc>
          <w:tcPr>
            <w:tcW w:w="3650"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广东省自然资源厅关于批复 2019 年部门预算资金分解指标的通知（粤自然资财务发〔2019〕5 号）</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406"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XXXX年</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3650"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6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资金分配方法</w:t>
            </w:r>
            <w:r>
              <w:rPr>
                <w:rFonts w:hint="eastAsia" w:ascii="宋体" w:hAnsi="宋体" w:cs="宋体"/>
                <w:b/>
                <w:color w:val="000000"/>
                <w:kern w:val="0"/>
                <w:sz w:val="16"/>
                <w:szCs w:val="16"/>
                <w:lang w:bidi="ar"/>
              </w:rPr>
              <w:br w:type="textWrapping"/>
            </w:r>
            <w:r>
              <w:rPr>
                <w:rFonts w:hint="eastAsia" w:ascii="宋体" w:hAnsi="宋体" w:cs="宋体"/>
                <w:b/>
                <w:color w:val="000000"/>
                <w:kern w:val="0"/>
                <w:sz w:val="16"/>
                <w:szCs w:val="16"/>
                <w:lang w:bidi="ar"/>
              </w:rPr>
              <w:t>或原则</w:t>
            </w:r>
          </w:p>
        </w:tc>
        <w:tc>
          <w:tcPr>
            <w:tcW w:w="9623" w:type="dxa"/>
            <w:gridSpan w:val="1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因素法 □  项目制</w:t>
            </w:r>
            <w:r>
              <w:rPr>
                <w:rFonts w:ascii="Arial" w:hAnsi="Arial" w:cs="Arial"/>
                <w:color w:val="000000"/>
                <w:kern w:val="0"/>
                <w:sz w:val="16"/>
                <w:szCs w:val="16"/>
                <w:lang w:bidi="ar"/>
              </w:rPr>
              <w:t>√</w:t>
            </w:r>
            <w:r>
              <w:rPr>
                <w:rStyle w:val="36"/>
                <w:rFonts w:hint="default"/>
                <w:lang w:bidi="ar"/>
              </w:rPr>
              <w:t xml:space="preserve"> </w:t>
            </w:r>
            <w:r>
              <w:rPr>
                <w:rFonts w:hint="eastAsia" w:ascii="宋体" w:hAnsi="宋体" w:cs="宋体"/>
                <w:color w:val="000000"/>
                <w:kern w:val="0"/>
                <w:sz w:val="16"/>
                <w:szCs w:val="16"/>
                <w:lang w:bidi="ar"/>
              </w:rPr>
              <w:t>□</w:t>
            </w:r>
            <w:r>
              <w:rPr>
                <w:rStyle w:val="36"/>
                <w:rFonts w:hint="default"/>
                <w:lang w:bidi="ar"/>
              </w:rPr>
              <w:t xml:space="preserve">  其他 □</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73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宋体" w:hAnsi="宋体" w:cs="宋体"/>
                <w:b/>
                <w:color w:val="000000"/>
                <w:sz w:val="16"/>
                <w:szCs w:val="16"/>
              </w:rPr>
            </w:pPr>
          </w:p>
        </w:tc>
        <w:tc>
          <w:tcPr>
            <w:tcW w:w="9623" w:type="dxa"/>
            <w:gridSpan w:val="1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选择“因素法”的，列明分配的因素及各因素的权重；选择“项目制”的，应说明项目申报的主要条件和评审项目考虑的因素；选择其他的请具体说明分配方式和原则。</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9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资金使用情况</w:t>
            </w: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实际支出金额</w:t>
            </w: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省本级</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2847.955万元</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转移支付至市县</w:t>
            </w:r>
          </w:p>
        </w:tc>
        <w:tc>
          <w:tcPr>
            <w:tcW w:w="3650"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259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方正姚体" w:hAnsi="方正姚体" w:eastAsia="方正姚体" w:cs="方正姚体"/>
                <w:color w:val="000000"/>
                <w:sz w:val="16"/>
                <w:szCs w:val="16"/>
              </w:rPr>
            </w:pPr>
            <w:r>
              <w:rPr>
                <w:rFonts w:ascii="方正姚体" w:hAnsi="方正姚体" w:eastAsia="方正姚体" w:cs="方正姚体"/>
                <w:color w:val="000000"/>
                <w:kern w:val="0"/>
                <w:sz w:val="16"/>
                <w:szCs w:val="16"/>
                <w:lang w:bidi="ar"/>
              </w:rPr>
              <w:t>存在的主要问题与改进措施简述</w:t>
            </w:r>
          </w:p>
        </w:tc>
      </w:tr>
      <w:tr>
        <w:tblPrEx>
          <w:tblLayout w:type="fixed"/>
          <w:tblCellMar>
            <w:top w:w="0" w:type="dxa"/>
            <w:left w:w="0" w:type="dxa"/>
            <w:bottom w:w="0" w:type="dxa"/>
            <w:right w:w="0" w:type="dxa"/>
          </w:tblCellMar>
        </w:tblPrEx>
        <w:trPr>
          <w:trHeight w:val="42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实际明细支出</w:t>
            </w: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年度</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省本级支出</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省本级支出（其中：部门预算支出）</w:t>
            </w: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转移支付市县支出</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w:t>
            </w:r>
          </w:p>
        </w:tc>
        <w:tc>
          <w:tcPr>
            <w:tcW w:w="2592" w:type="dxa"/>
            <w:gridSpan w:val="4"/>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方正姚体" w:hAnsi="方正姚体" w:eastAsia="方正姚体" w:cs="方正姚体"/>
                <w:color w:val="000000"/>
                <w:sz w:val="16"/>
                <w:szCs w:val="16"/>
              </w:rPr>
            </w:pPr>
            <w:r>
              <w:rPr>
                <w:rFonts w:ascii="方正姚体" w:hAnsi="方正姚体" w:eastAsia="方正姚体" w:cs="方正姚体"/>
                <w:color w:val="000000"/>
                <w:kern w:val="0"/>
                <w:sz w:val="16"/>
                <w:szCs w:val="16"/>
                <w:lang w:bidi="ar"/>
              </w:rPr>
              <w:t>无</w:t>
            </w:r>
          </w:p>
        </w:tc>
      </w:tr>
      <w:tr>
        <w:tblPrEx>
          <w:tblLayout w:type="fixed"/>
          <w:tblCellMar>
            <w:top w:w="0" w:type="dxa"/>
            <w:left w:w="0" w:type="dxa"/>
            <w:bottom w:w="0" w:type="dxa"/>
            <w:right w:w="0" w:type="dxa"/>
          </w:tblCellMar>
        </w:tblPrEx>
        <w:trPr>
          <w:trHeight w:val="35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2019年度</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2847.955万元</w:t>
            </w: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30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XXXX年</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38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XXXX年</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6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28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按方向划分</w:t>
            </w: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资金使用方向</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安排年度</w:t>
            </w:r>
          </w:p>
        </w:tc>
        <w:tc>
          <w:tcPr>
            <w:tcW w:w="16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实际下达额度</w:t>
            </w: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实际支出金额</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3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“一核一带一区”区域发展新格局的国土空间响应编制服务</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600万元</w:t>
            </w: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49.8</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6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《粤港澳大湾区背景下的珠三角国土空间优化和区域协同发展》研究合同</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150</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3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科学编制实施乡村规划促进乡村振兴研究合同</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49.8</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4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广东省主体功能区分区优化及粤北生态发展区支持政策研究合同</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59.9</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35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规划修改流程优化及相关数据整理入库</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79.5</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4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新型城镇化战略下的广东省城镇（人口）、用地发展趋势和支撑关系研究</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45</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37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广东省国土空间规划（2020-2035）编制</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2500万元</w:t>
            </w: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1891.8</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9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广东省国土空间规划“一张图”实施监督信息平台建设监理项目</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10.98</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9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广东省国土空间规划“一张图”实施监督信息平台建设项目</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486.675</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宋体" w:hAnsi="宋体" w:cs="宋体"/>
                <w:color w:val="000000"/>
                <w:sz w:val="16"/>
                <w:szCs w:val="16"/>
              </w:rPr>
            </w:pP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81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left"/>
              <w:rPr>
                <w:rFonts w:ascii="宋体" w:hAnsi="宋体" w:cs="宋体"/>
                <w:b/>
                <w:color w:val="000000"/>
                <w:sz w:val="16"/>
                <w:szCs w:val="16"/>
              </w:rPr>
            </w:pPr>
          </w:p>
        </w:tc>
        <w:tc>
          <w:tcPr>
            <w:tcW w:w="3104" w:type="dxa"/>
            <w:gridSpan w:val="4"/>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广东省国土空间规划“一张图”实施监督信息平台建设技术咨询及成果验证</w:t>
            </w:r>
          </w:p>
        </w:tc>
        <w:tc>
          <w:tcPr>
            <w:tcW w:w="117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2019年</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24.5</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136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绩效目标情况</w:t>
            </w: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预期总体目标</w:t>
            </w:r>
          </w:p>
        </w:tc>
        <w:tc>
          <w:tcPr>
            <w:tcW w:w="5973" w:type="dxa"/>
            <w:gridSpan w:val="7"/>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一是编制完成省级国土空间规划，形成一批省级国土空间规划专题研究报告。二是开发广东省国土空间规划监测评估预警管理系统。三是为省市县各级国土空间规划的编制和实施管理提供理论、技术、政策等方面的支撑，形成一批国土空间规划编制和实施管理的技术规程、导则和论文；完成珠江三角洲国土空间规划编制。</w:t>
            </w:r>
          </w:p>
        </w:tc>
        <w:tc>
          <w:tcPr>
            <w:tcW w:w="190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 xml:space="preserve">  是否如期实现预期  </w:t>
            </w:r>
            <w:r>
              <w:rPr>
                <w:rFonts w:hint="eastAsia" w:ascii="宋体" w:hAnsi="宋体" w:cs="宋体"/>
                <w:b/>
                <w:color w:val="000000"/>
                <w:kern w:val="0"/>
                <w:sz w:val="16"/>
                <w:szCs w:val="16"/>
                <w:lang w:bidi="ar"/>
              </w:rPr>
              <w:br w:type="textWrapping"/>
            </w:r>
            <w:r>
              <w:rPr>
                <w:rFonts w:hint="eastAsia" w:ascii="宋体" w:hAnsi="宋体" w:cs="宋体"/>
                <w:b/>
                <w:color w:val="000000"/>
                <w:kern w:val="0"/>
                <w:sz w:val="16"/>
                <w:szCs w:val="16"/>
                <w:lang w:bidi="ar"/>
              </w:rPr>
              <w:t xml:space="preserve">      总体目标</w:t>
            </w:r>
          </w:p>
        </w:tc>
        <w:tc>
          <w:tcPr>
            <w:tcW w:w="1746"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如期实现</w:t>
            </w:r>
          </w:p>
        </w:tc>
        <w:tc>
          <w:tcPr>
            <w:tcW w:w="2592" w:type="dxa"/>
            <w:gridSpan w:val="4"/>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jc w:val="center"/>
              <w:textAlignment w:val="center"/>
              <w:rPr>
                <w:rFonts w:ascii="方正姚体" w:hAnsi="方正姚体" w:eastAsia="方正姚体" w:cs="方正姚体"/>
                <w:color w:val="000000"/>
                <w:sz w:val="16"/>
                <w:szCs w:val="16"/>
              </w:rPr>
            </w:pPr>
            <w:r>
              <w:rPr>
                <w:rFonts w:ascii="方正姚体" w:hAnsi="方正姚体" w:eastAsia="方正姚体" w:cs="方正姚体"/>
                <w:color w:val="000000"/>
                <w:kern w:val="0"/>
                <w:sz w:val="16"/>
                <w:szCs w:val="16"/>
                <w:lang w:bidi="ar"/>
              </w:rPr>
              <w:t>存在的主要问题与改进措施简述</w:t>
            </w:r>
          </w:p>
        </w:tc>
      </w:tr>
      <w:tr>
        <w:tblPrEx>
          <w:tblLayout w:type="fixed"/>
          <w:tblCellMar>
            <w:top w:w="0" w:type="dxa"/>
            <w:left w:w="0" w:type="dxa"/>
            <w:bottom w:w="0" w:type="dxa"/>
            <w:right w:w="0" w:type="dxa"/>
          </w:tblCellMar>
        </w:tblPrEx>
        <w:trPr>
          <w:trHeight w:val="73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b/>
                <w:color w:val="000000"/>
                <w:sz w:val="16"/>
                <w:szCs w:val="16"/>
              </w:rPr>
            </w:pPr>
            <w:r>
              <w:rPr>
                <w:rFonts w:hint="eastAsia" w:ascii="宋体" w:hAnsi="宋体" w:cs="宋体"/>
                <w:b/>
                <w:color w:val="000000"/>
                <w:kern w:val="0"/>
                <w:sz w:val="16"/>
                <w:szCs w:val="16"/>
                <w:lang w:bidi="ar"/>
              </w:rPr>
              <w:t>预期阶段性目标</w:t>
            </w:r>
          </w:p>
        </w:tc>
        <w:tc>
          <w:tcPr>
            <w:tcW w:w="4278"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目标1：编制完成省级国土空间规划，形成一批省级国土空间规划专题研究报告。</w:t>
            </w:r>
          </w:p>
        </w:tc>
        <w:tc>
          <w:tcPr>
            <w:tcW w:w="169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实际完成情况</w:t>
            </w:r>
          </w:p>
        </w:tc>
        <w:tc>
          <w:tcPr>
            <w:tcW w:w="3650"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目标1：如期实现</w:t>
            </w:r>
          </w:p>
        </w:tc>
        <w:tc>
          <w:tcPr>
            <w:tcW w:w="2592" w:type="dxa"/>
            <w:gridSpan w:val="4"/>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方正姚体" w:hAnsi="方正姚体" w:eastAsia="方正姚体" w:cs="方正姚体"/>
                <w:color w:val="000000"/>
                <w:sz w:val="16"/>
                <w:szCs w:val="16"/>
              </w:rPr>
            </w:pPr>
            <w:r>
              <w:rPr>
                <w:rFonts w:ascii="方正姚体" w:hAnsi="方正姚体" w:eastAsia="方正姚体" w:cs="方正姚体"/>
                <w:color w:val="000000"/>
                <w:kern w:val="0"/>
                <w:sz w:val="16"/>
                <w:szCs w:val="16"/>
                <w:lang w:bidi="ar"/>
              </w:rPr>
              <w:t>规划编制刚完成，尚未正式发布，故规划应该产生效果目前尚未完全显现，绩效评价中效果性指标较难设置。建议在规划实施一段时间后，最好是在下一轮规划编制开始前或者是规划实施中期，结合规划实施评估，开展对规划编制的绩效评价工作。</w:t>
            </w:r>
          </w:p>
        </w:tc>
      </w:tr>
      <w:tr>
        <w:tblPrEx>
          <w:tblLayout w:type="fixed"/>
          <w:tblCellMar>
            <w:top w:w="0" w:type="dxa"/>
            <w:left w:w="0" w:type="dxa"/>
            <w:bottom w:w="0" w:type="dxa"/>
            <w:right w:w="0" w:type="dxa"/>
          </w:tblCellMar>
        </w:tblPrEx>
        <w:trPr>
          <w:trHeight w:val="595"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宋体" w:hAnsi="宋体" w:cs="宋体"/>
                <w:b/>
                <w:color w:val="000000"/>
                <w:sz w:val="16"/>
                <w:szCs w:val="16"/>
              </w:rPr>
            </w:pPr>
          </w:p>
        </w:tc>
        <w:tc>
          <w:tcPr>
            <w:tcW w:w="4278"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目标2：开发广东省国土空间规划监测评估预警管理系统。</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b/>
                <w:color w:val="000000"/>
                <w:sz w:val="16"/>
                <w:szCs w:val="16"/>
              </w:rPr>
            </w:pPr>
          </w:p>
        </w:tc>
        <w:tc>
          <w:tcPr>
            <w:tcW w:w="3650"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目标2：如期实现</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1320" w:hRule="atLeast"/>
        </w:trPr>
        <w:tc>
          <w:tcPr>
            <w:tcW w:w="574"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方正姚体" w:hAnsi="方正姚体" w:eastAsia="方正姚体" w:cs="方正姚体"/>
                <w:color w:val="000000"/>
                <w:sz w:val="16"/>
                <w:szCs w:val="16"/>
              </w:rPr>
            </w:pPr>
          </w:p>
        </w:tc>
        <w:tc>
          <w:tcPr>
            <w:tcW w:w="665"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textDirection w:val="tbRlV"/>
            <w:vAlign w:val="center"/>
          </w:tcPr>
          <w:p>
            <w:pPr>
              <w:jc w:val="center"/>
              <w:rPr>
                <w:rFonts w:ascii="宋体" w:hAnsi="宋体" w:cs="宋体"/>
                <w:b/>
                <w:color w:val="000000"/>
                <w:sz w:val="16"/>
                <w:szCs w:val="16"/>
              </w:rPr>
            </w:pPr>
          </w:p>
        </w:tc>
        <w:tc>
          <w:tcPr>
            <w:tcW w:w="1277"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宋体" w:hAnsi="宋体" w:cs="宋体"/>
                <w:b/>
                <w:color w:val="000000"/>
                <w:sz w:val="16"/>
                <w:szCs w:val="16"/>
              </w:rPr>
            </w:pPr>
          </w:p>
        </w:tc>
        <w:tc>
          <w:tcPr>
            <w:tcW w:w="4278" w:type="dxa"/>
            <w:gridSpan w:val="6"/>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目标3：为省市县各级国土空间规划的编制和实施管理提供理论、技术、政策等方面的支撑，形成一批国土空间规划编制和实施管理的技术规程、导则和论文；完成珠江三角洲国土空间规划编制。</w:t>
            </w:r>
          </w:p>
        </w:tc>
        <w:tc>
          <w:tcPr>
            <w:tcW w:w="16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b/>
                <w:color w:val="000000"/>
                <w:sz w:val="16"/>
                <w:szCs w:val="16"/>
              </w:rPr>
            </w:pPr>
          </w:p>
        </w:tc>
        <w:tc>
          <w:tcPr>
            <w:tcW w:w="3650"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lang w:bidi="ar"/>
              </w:rPr>
              <w:t>目标3：如期实现</w:t>
            </w:r>
          </w:p>
        </w:tc>
        <w:tc>
          <w:tcPr>
            <w:tcW w:w="2592" w:type="dxa"/>
            <w:gridSpan w:val="4"/>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方正姚体" w:hAnsi="方正姚体" w:eastAsia="方正姚体" w:cs="方正姚体"/>
                <w:color w:val="000000"/>
                <w:sz w:val="16"/>
                <w:szCs w:val="16"/>
              </w:rPr>
            </w:pPr>
          </w:p>
        </w:tc>
      </w:tr>
      <w:tr>
        <w:tblPrEx>
          <w:tblLayout w:type="fixed"/>
          <w:tblCellMar>
            <w:top w:w="0" w:type="dxa"/>
            <w:left w:w="0" w:type="dxa"/>
            <w:bottom w:w="0" w:type="dxa"/>
            <w:right w:w="0" w:type="dxa"/>
          </w:tblCellMar>
        </w:tblPrEx>
        <w:trPr>
          <w:trHeight w:val="620" w:hRule="atLeast"/>
        </w:trPr>
        <w:tc>
          <w:tcPr>
            <w:tcW w:w="14731" w:type="dxa"/>
            <w:gridSpan w:val="2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方正姚体" w:hAnsi="方正姚体" w:eastAsia="方正姚体" w:cs="方正姚体"/>
                <w:color w:val="000000"/>
                <w:sz w:val="16"/>
                <w:szCs w:val="16"/>
              </w:rPr>
            </w:pPr>
            <w:r>
              <w:rPr>
                <w:rFonts w:ascii="方正姚体" w:hAnsi="方正姚体" w:eastAsia="方正姚体" w:cs="方正姚体"/>
                <w:color w:val="000000"/>
                <w:kern w:val="0"/>
                <w:sz w:val="16"/>
                <w:szCs w:val="16"/>
                <w:lang w:bidi="ar"/>
              </w:rPr>
              <w:t>指标评分表</w:t>
            </w:r>
          </w:p>
        </w:tc>
      </w:tr>
      <w:tr>
        <w:tblPrEx>
          <w:tblLayout w:type="fixed"/>
          <w:tblCellMar>
            <w:top w:w="0" w:type="dxa"/>
            <w:left w:w="0" w:type="dxa"/>
            <w:bottom w:w="0" w:type="dxa"/>
            <w:right w:w="0" w:type="dxa"/>
          </w:tblCellMar>
        </w:tblPrEx>
        <w:trPr>
          <w:trHeight w:val="345" w:hRule="atLeast"/>
        </w:trPr>
        <w:tc>
          <w:tcPr>
            <w:tcW w:w="3958" w:type="dxa"/>
            <w:gridSpan w:val="11"/>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评价指标</w:t>
            </w:r>
          </w:p>
        </w:tc>
        <w:tc>
          <w:tcPr>
            <w:tcW w:w="2425" w:type="dxa"/>
            <w:gridSpan w:val="2"/>
            <w:vMerge w:val="restar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评价年度预期值</w:t>
            </w:r>
          </w:p>
        </w:tc>
        <w:tc>
          <w:tcPr>
            <w:tcW w:w="2738" w:type="dxa"/>
            <w:gridSpan w:val="3"/>
            <w:vMerge w:val="restar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评价年度实现值</w:t>
            </w:r>
          </w:p>
        </w:tc>
        <w:tc>
          <w:tcPr>
            <w:tcW w:w="482" w:type="dxa"/>
            <w:vMerge w:val="restar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自评分</w:t>
            </w:r>
          </w:p>
        </w:tc>
        <w:tc>
          <w:tcPr>
            <w:tcW w:w="1447" w:type="dxa"/>
            <w:gridSpan w:val="2"/>
            <w:vMerge w:val="restar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评分依据、未达标原因分析</w:t>
            </w:r>
          </w:p>
        </w:tc>
        <w:tc>
          <w:tcPr>
            <w:tcW w:w="3681" w:type="dxa"/>
            <w:gridSpan w:val="5"/>
            <w:vMerge w:val="restar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评分标准</w:t>
            </w:r>
          </w:p>
        </w:tc>
      </w:tr>
      <w:tr>
        <w:tblPrEx>
          <w:tblLayout w:type="fixed"/>
          <w:tblCellMar>
            <w:top w:w="0" w:type="dxa"/>
            <w:left w:w="0" w:type="dxa"/>
            <w:bottom w:w="0" w:type="dxa"/>
            <w:right w:w="0" w:type="dxa"/>
          </w:tblCellMar>
        </w:tblPrEx>
        <w:trPr>
          <w:trHeight w:val="345" w:hRule="atLeast"/>
        </w:trPr>
        <w:tc>
          <w:tcPr>
            <w:tcW w:w="676"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一级指标</w:t>
            </w:r>
          </w:p>
        </w:tc>
        <w:tc>
          <w:tcPr>
            <w:tcW w:w="676"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二级指标</w:t>
            </w:r>
          </w:p>
        </w:tc>
        <w:tc>
          <w:tcPr>
            <w:tcW w:w="1172"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三级指标</w:t>
            </w:r>
          </w:p>
        </w:tc>
        <w:tc>
          <w:tcPr>
            <w:tcW w:w="1434"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四级指标　</w:t>
            </w:r>
          </w:p>
        </w:tc>
        <w:tc>
          <w:tcPr>
            <w:tcW w:w="2425"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c>
          <w:tcPr>
            <w:tcW w:w="273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c>
          <w:tcPr>
            <w:tcW w:w="4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c>
          <w:tcPr>
            <w:tcW w:w="1447"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c>
          <w:tcPr>
            <w:tcW w:w="3681" w:type="dxa"/>
            <w:gridSpan w:val="5"/>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r>
      <w:tr>
        <w:tblPrEx>
          <w:tblLayout w:type="fixed"/>
          <w:tblCellMar>
            <w:top w:w="0" w:type="dxa"/>
            <w:left w:w="0" w:type="dxa"/>
            <w:bottom w:w="0" w:type="dxa"/>
            <w:right w:w="0" w:type="dxa"/>
          </w:tblCellMar>
        </w:tblPrEx>
        <w:trPr>
          <w:trHeight w:val="820" w:hRule="atLeast"/>
        </w:trPr>
        <w:tc>
          <w:tcPr>
            <w:tcW w:w="3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名称</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权重(%)</w:t>
            </w:r>
          </w:p>
        </w:tc>
        <w:tc>
          <w:tcPr>
            <w:tcW w:w="3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名称</w:t>
            </w:r>
          </w:p>
        </w:tc>
        <w:tc>
          <w:tcPr>
            <w:tcW w:w="3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权重(%)</w:t>
            </w: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名称</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权重(%)</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名称</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权重(%)</w:t>
            </w:r>
          </w:p>
        </w:tc>
        <w:tc>
          <w:tcPr>
            <w:tcW w:w="2425"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c>
          <w:tcPr>
            <w:tcW w:w="273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c>
          <w:tcPr>
            <w:tcW w:w="48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c>
          <w:tcPr>
            <w:tcW w:w="1447"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c>
          <w:tcPr>
            <w:tcW w:w="3681" w:type="dxa"/>
            <w:gridSpan w:val="5"/>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b/>
                <w:color w:val="000000"/>
                <w:sz w:val="16"/>
                <w:szCs w:val="16"/>
              </w:rPr>
            </w:pPr>
          </w:p>
        </w:tc>
      </w:tr>
      <w:tr>
        <w:tblPrEx>
          <w:tblLayout w:type="fixed"/>
          <w:tblCellMar>
            <w:top w:w="0" w:type="dxa"/>
            <w:left w:w="0" w:type="dxa"/>
            <w:bottom w:w="0" w:type="dxa"/>
            <w:right w:w="0" w:type="dxa"/>
          </w:tblCellMar>
        </w:tblPrEx>
        <w:trPr>
          <w:trHeight w:val="1340" w:hRule="atLeast"/>
        </w:trPr>
        <w:tc>
          <w:tcPr>
            <w:tcW w:w="3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投入</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20</w:t>
            </w:r>
          </w:p>
        </w:tc>
        <w:tc>
          <w:tcPr>
            <w:tcW w:w="3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项目立项</w:t>
            </w:r>
          </w:p>
        </w:tc>
        <w:tc>
          <w:tcPr>
            <w:tcW w:w="35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12</w:t>
            </w: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论证决策</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4</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论证充分性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4</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4</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具有前期可行性研究报告或摸底调查工作总结等文字材料的得2分；经过集体会议协调，并咨询相关专家意见，有文字材料的得2分，如无，则根据实际情况核定分数。</w:t>
            </w:r>
          </w:p>
        </w:tc>
      </w:tr>
      <w:tr>
        <w:tblPrEx>
          <w:tblLayout w:type="fixed"/>
          <w:tblCellMar>
            <w:top w:w="0" w:type="dxa"/>
            <w:left w:w="0" w:type="dxa"/>
            <w:bottom w:w="0" w:type="dxa"/>
            <w:right w:w="0" w:type="dxa"/>
          </w:tblCellMar>
        </w:tblPrEx>
        <w:trPr>
          <w:trHeight w:val="141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绩效目标设置</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6</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完整性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依据相关基础信息和证据判断目标设置的完整性，即是否包含总目标和阶段性目标，是否包括预期提供的公共产品或服务的产出数量、质量、成本指标，预期达到的效果性指标，据此核定分数。</w:t>
            </w:r>
          </w:p>
        </w:tc>
      </w:tr>
      <w:tr>
        <w:tblPrEx>
          <w:tblLayout w:type="fixed"/>
          <w:tblCellMar>
            <w:top w:w="0" w:type="dxa"/>
            <w:left w:w="0" w:type="dxa"/>
            <w:bottom w:w="0" w:type="dxa"/>
            <w:right w:w="0" w:type="dxa"/>
          </w:tblCellMar>
        </w:tblPrEx>
        <w:trPr>
          <w:trHeight w:val="84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合理性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依据相关基础信息和证据判断目标设置的科学性，即绩效目标设置是否与资金或项目属性特点、支出内容相关，体现决策意图，同时合乎客观实际，据此核定分数。</w:t>
            </w:r>
          </w:p>
        </w:tc>
      </w:tr>
      <w:tr>
        <w:tblPrEx>
          <w:tblLayout w:type="fixed"/>
          <w:tblCellMar>
            <w:top w:w="0" w:type="dxa"/>
            <w:left w:w="0" w:type="dxa"/>
            <w:bottom w:w="0" w:type="dxa"/>
            <w:right w:w="0" w:type="dxa"/>
          </w:tblCellMar>
        </w:tblPrEx>
        <w:trPr>
          <w:trHeight w:val="84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可衡量性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依据相关基础信息和证据判断目标设置的可衡量性，即绩效目标设置是否有数据支撑、是否有可衡量性的指标，据此核定分数。</w:t>
            </w:r>
          </w:p>
        </w:tc>
      </w:tr>
      <w:tr>
        <w:tblPrEx>
          <w:tblLayout w:type="fixed"/>
          <w:tblCellMar>
            <w:top w:w="0" w:type="dxa"/>
            <w:left w:w="0" w:type="dxa"/>
            <w:bottom w:w="0" w:type="dxa"/>
            <w:right w:w="0" w:type="dxa"/>
          </w:tblCellMar>
        </w:tblPrEx>
        <w:trPr>
          <w:trHeight w:val="63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保障措施</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制度完整性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依据相关基础信息和证据判断制度完整性和是否具备条件实施，根据实际情况核定分数。</w:t>
            </w:r>
          </w:p>
        </w:tc>
      </w:tr>
      <w:tr>
        <w:tblPrEx>
          <w:tblLayout w:type="fixed"/>
          <w:tblCellMar>
            <w:top w:w="0" w:type="dxa"/>
            <w:left w:w="0" w:type="dxa"/>
            <w:bottom w:w="0" w:type="dxa"/>
            <w:right w:w="0" w:type="dxa"/>
          </w:tblCellMar>
        </w:tblPrEx>
        <w:trPr>
          <w:trHeight w:val="715"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计划安排合理性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依据工作计划进度计划等相关基础信息和证据判断，并根据实际情况核定分数。</w:t>
            </w:r>
          </w:p>
        </w:tc>
      </w:tr>
      <w:tr>
        <w:tblPrEx>
          <w:tblLayout w:type="fixed"/>
          <w:tblCellMar>
            <w:top w:w="0" w:type="dxa"/>
            <w:left w:w="0" w:type="dxa"/>
            <w:bottom w:w="0" w:type="dxa"/>
            <w:right w:w="0" w:type="dxa"/>
          </w:tblCellMar>
        </w:tblPrEx>
        <w:trPr>
          <w:trHeight w:val="84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资金落实</w:t>
            </w:r>
          </w:p>
        </w:tc>
        <w:tc>
          <w:tcPr>
            <w:tcW w:w="35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8</w:t>
            </w:r>
          </w:p>
        </w:tc>
        <w:tc>
          <w:tcPr>
            <w:tcW w:w="8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资金到位</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资金到位率</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1.各类来源资金足额到位的，得3分。                                     2.各类来源资金未足额到位的，按实际及时到位的金额/应及时到位的金额*指标分值。</w:t>
            </w:r>
          </w:p>
        </w:tc>
      </w:tr>
      <w:tr>
        <w:tblPrEx>
          <w:tblLayout w:type="fixed"/>
          <w:tblCellMar>
            <w:top w:w="0" w:type="dxa"/>
            <w:left w:w="0" w:type="dxa"/>
            <w:bottom w:w="0" w:type="dxa"/>
            <w:right w:w="0" w:type="dxa"/>
          </w:tblCellMar>
        </w:tblPrEx>
        <w:trPr>
          <w:trHeight w:val="84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资金到位及时性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1.各类来源资金及时到位的，得2分。                                             2.各类来源资金未及时到位的，按实际及时到位的金额/应及时到位的金额*指标分值。</w:t>
            </w:r>
          </w:p>
        </w:tc>
      </w:tr>
      <w:tr>
        <w:tblPrEx>
          <w:tblLayout w:type="fixed"/>
          <w:tblCellMar>
            <w:top w:w="0" w:type="dxa"/>
            <w:left w:w="0" w:type="dxa"/>
            <w:bottom w:w="0" w:type="dxa"/>
            <w:right w:w="0" w:type="dxa"/>
          </w:tblCellMar>
        </w:tblPrEx>
        <w:trPr>
          <w:trHeight w:val="675"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资金分配</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资金分配的合理性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依据相关材料和证据判断资金分配是否合理，是否有助于实现合理使用资金的绩效目标。</w:t>
            </w:r>
          </w:p>
        </w:tc>
      </w:tr>
      <w:tr>
        <w:tblPrEx>
          <w:tblLayout w:type="fixed"/>
          <w:tblCellMar>
            <w:top w:w="0" w:type="dxa"/>
            <w:left w:w="0" w:type="dxa"/>
            <w:bottom w:w="0" w:type="dxa"/>
            <w:right w:w="0" w:type="dxa"/>
          </w:tblCellMar>
        </w:tblPrEx>
        <w:trPr>
          <w:trHeight w:val="840" w:hRule="atLeast"/>
        </w:trPr>
        <w:tc>
          <w:tcPr>
            <w:tcW w:w="3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过程</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20</w:t>
            </w:r>
          </w:p>
        </w:tc>
        <w:tc>
          <w:tcPr>
            <w:tcW w:w="3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资金管理</w:t>
            </w:r>
          </w:p>
        </w:tc>
        <w:tc>
          <w:tcPr>
            <w:tcW w:w="35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12</w:t>
            </w: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资金支付</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6</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资金支出率</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6</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5.51</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主要依据“支付额/预算额度*100*指标权重</w:t>
            </w:r>
            <w:r>
              <w:rPr>
                <w:rFonts w:hint="eastAsia" w:ascii="宋体" w:hAnsi="宋体" w:cs="宋体"/>
                <w:color w:val="000000"/>
                <w:kern w:val="0"/>
                <w:sz w:val="16"/>
                <w:szCs w:val="16"/>
                <w:lang w:bidi="ar"/>
              </w:rPr>
              <w:t>”</w:t>
            </w:r>
            <w:r>
              <w:rPr>
                <w:rFonts w:ascii="仿宋_GB2312" w:hAnsi="宋体" w:eastAsia="仿宋_GB2312" w:cs="仿宋_GB2312"/>
                <w:color w:val="000000"/>
                <w:kern w:val="0"/>
                <w:sz w:val="16"/>
                <w:szCs w:val="16"/>
                <w:lang w:bidi="ar"/>
              </w:rPr>
              <w:t>计算核定得分，同时综合考虑工作进度以及是否垫资或履行支付手续而影响支出率等因素适当调整最后得分。</w:t>
            </w:r>
          </w:p>
        </w:tc>
      </w:tr>
      <w:tr>
        <w:tblPrEx>
          <w:tblLayout w:type="fixed"/>
          <w:tblCellMar>
            <w:top w:w="0" w:type="dxa"/>
            <w:left w:w="0" w:type="dxa"/>
            <w:bottom w:w="0" w:type="dxa"/>
            <w:right w:w="0" w:type="dxa"/>
          </w:tblCellMar>
        </w:tblPrEx>
        <w:trPr>
          <w:trHeight w:val="63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支出规范性</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6</w:t>
            </w:r>
          </w:p>
        </w:tc>
        <w:tc>
          <w:tcPr>
            <w:tcW w:w="109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事项支出合规性</w:t>
            </w:r>
          </w:p>
        </w:tc>
        <w:tc>
          <w:tcPr>
            <w:tcW w:w="33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6</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 预算执行规范性2分，按规定履行调整报批手续或未发生调整的，且按事项完成进度支付资金的得满分，否则酌情扣分。</w:t>
            </w:r>
          </w:p>
        </w:tc>
      </w:tr>
      <w:tr>
        <w:tblPrEx>
          <w:tblLayout w:type="fixed"/>
          <w:tblCellMar>
            <w:top w:w="0" w:type="dxa"/>
            <w:left w:w="0" w:type="dxa"/>
            <w:bottom w:w="0" w:type="dxa"/>
            <w:right w:w="0" w:type="dxa"/>
          </w:tblCellMar>
        </w:tblPrEx>
        <w:trPr>
          <w:trHeight w:val="126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10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 事项支出的合规性2分，资金管理、费用标准、支付符合有关制度的得满分，超范围、超标准支出，虚列支出、截留、挤占、挪用资金的，以及其他不符合制度规定支出的，是情节严重情况扣分，直至扣到0分。</w:t>
            </w:r>
          </w:p>
        </w:tc>
      </w:tr>
      <w:tr>
        <w:tblPrEx>
          <w:tblLayout w:type="fixed"/>
          <w:tblCellMar>
            <w:top w:w="0" w:type="dxa"/>
            <w:left w:w="0" w:type="dxa"/>
            <w:bottom w:w="0" w:type="dxa"/>
            <w:right w:w="0" w:type="dxa"/>
          </w:tblCellMar>
        </w:tblPrEx>
        <w:trPr>
          <w:trHeight w:val="84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10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9"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3.会计核算的规范性2分，规范执行会计核算制度得满分，未按规定设专账核算，或支出凭证不符合规定的，或其他核算不规范的，视具体情况扣分。</w:t>
            </w:r>
          </w:p>
        </w:tc>
      </w:tr>
      <w:tr>
        <w:tblPrEx>
          <w:tblLayout w:type="fixed"/>
          <w:tblCellMar>
            <w:top w:w="0" w:type="dxa"/>
            <w:left w:w="0" w:type="dxa"/>
            <w:bottom w:w="0" w:type="dxa"/>
            <w:right w:w="0" w:type="dxa"/>
          </w:tblCellMar>
        </w:tblPrEx>
        <w:trPr>
          <w:trHeight w:val="42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事项管理</w:t>
            </w:r>
          </w:p>
        </w:tc>
        <w:tc>
          <w:tcPr>
            <w:tcW w:w="35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8</w:t>
            </w: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实施程序</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4</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程序规范性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4</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4</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项目或方案按照规定程序实施，严格执行相关制度规定的4分，否则酌情扣分。</w:t>
            </w:r>
          </w:p>
        </w:tc>
      </w:tr>
      <w:tr>
        <w:tblPrEx>
          <w:tblLayout w:type="fixed"/>
          <w:tblCellMar>
            <w:top w:w="0" w:type="dxa"/>
            <w:left w:w="0" w:type="dxa"/>
            <w:bottom w:w="0" w:type="dxa"/>
            <w:right w:w="0" w:type="dxa"/>
          </w:tblCellMar>
        </w:tblPrEx>
        <w:trPr>
          <w:trHeight w:val="147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管理情况</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4</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监管有效性</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4</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4</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资金使用单位或基层资金管理单位建立有效管理机制，且执行情况良好得2分，具体根据所提供的信息证据做出判断并核定分数。2.具体根据提供的信息做出判断，如各级主管部门按规定对项目建设或方案实施开展有效的检查、监控、督促整改的，得2分；否则，视情况扣分。</w:t>
            </w:r>
          </w:p>
        </w:tc>
      </w:tr>
      <w:tr>
        <w:tblPrEx>
          <w:tblLayout w:type="fixed"/>
          <w:tblCellMar>
            <w:top w:w="0" w:type="dxa"/>
            <w:left w:w="0" w:type="dxa"/>
            <w:bottom w:w="0" w:type="dxa"/>
            <w:right w:w="0" w:type="dxa"/>
          </w:tblCellMar>
        </w:tblPrEx>
        <w:trPr>
          <w:trHeight w:val="1050" w:hRule="atLeast"/>
        </w:trPr>
        <w:tc>
          <w:tcPr>
            <w:tcW w:w="3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产出</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30</w:t>
            </w:r>
          </w:p>
        </w:tc>
        <w:tc>
          <w:tcPr>
            <w:tcW w:w="3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经济性</w:t>
            </w:r>
          </w:p>
        </w:tc>
        <w:tc>
          <w:tcPr>
            <w:tcW w:w="35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w:t>
            </w: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预算控制</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预算控制</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在预算执行进度与事项完成进度基本匹配的前提下，实际支出未超过预算计划的，得满分；实际支出超过预算的，或者支出未能保障事项相应完成进度的，酌情扣分。</w:t>
            </w:r>
          </w:p>
        </w:tc>
      </w:tr>
      <w:tr>
        <w:tblPrEx>
          <w:tblLayout w:type="fixed"/>
          <w:tblCellMar>
            <w:top w:w="0" w:type="dxa"/>
            <w:left w:w="0" w:type="dxa"/>
            <w:bottom w:w="0" w:type="dxa"/>
            <w:right w:w="0" w:type="dxa"/>
          </w:tblCellMar>
        </w:tblPrEx>
        <w:trPr>
          <w:trHeight w:val="147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成本控制</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成本节约</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在项目按照预算完成的前提下，与同类项目或市场价格比较，项目实施的成本（包括工程造价、物品采购单价、人员经费等）属于合理范围的（如与同类项目或市场价格大致相符的）得满分；成本不合理的（如明显高于或低于同类项目或市场价格的）酌，酌情扣分。</w:t>
            </w:r>
          </w:p>
        </w:tc>
      </w:tr>
      <w:tr>
        <w:tblPrEx>
          <w:tblLayout w:type="fixed"/>
          <w:tblCellMar>
            <w:top w:w="0" w:type="dxa"/>
            <w:left w:w="0" w:type="dxa"/>
            <w:bottom w:w="0" w:type="dxa"/>
            <w:right w:w="0" w:type="dxa"/>
          </w:tblCellMar>
        </w:tblPrEx>
        <w:trPr>
          <w:trHeight w:val="2865"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效率性</w:t>
            </w:r>
          </w:p>
        </w:tc>
        <w:tc>
          <w:tcPr>
            <w:tcW w:w="35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25</w:t>
            </w:r>
          </w:p>
        </w:tc>
        <w:tc>
          <w:tcPr>
            <w:tcW w:w="8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完成进度及质量</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25</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r>
              <w:rPr>
                <w:rFonts w:hint="eastAsia" w:ascii="仿宋_GB2312" w:hAnsi="宋体" w:eastAsia="仿宋_GB2312" w:cs="仿宋_GB2312"/>
                <w:color w:val="000000"/>
                <w:sz w:val="16"/>
                <w:szCs w:val="16"/>
              </w:rPr>
              <w:t>全省空间规划编制</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15</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编制全省国土空间规划。2.建设广东省国土空间规划“一张图”实施监督信息平台。3.成立技术联盟。4.开展专题研究课题13项。5.完成珠江三角洲国土空间规划编制1项。</w:t>
            </w: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完成全省空间规划编制工作</w:t>
            </w: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16"/>
                <w:szCs w:val="16"/>
              </w:rPr>
            </w:pPr>
            <w:r>
              <w:rPr>
                <w:rFonts w:hint="eastAsia" w:ascii="仿宋_GB2312" w:hAnsi="宋体" w:eastAsia="仿宋_GB2312" w:cs="仿宋_GB2312"/>
                <w:kern w:val="0"/>
                <w:sz w:val="16"/>
                <w:szCs w:val="16"/>
                <w:lang w:bidi="ar"/>
              </w:rPr>
              <w:t>15</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16"/>
                <w:szCs w:val="16"/>
              </w:rPr>
            </w:pPr>
            <w:r>
              <w:rPr>
                <w:rFonts w:ascii="仿宋_GB2312" w:hAnsi="宋体" w:eastAsia="仿宋_GB2312" w:cs="仿宋_GB2312"/>
                <w:kern w:val="0"/>
                <w:sz w:val="16"/>
                <w:szCs w:val="16"/>
                <w:lang w:bidi="ar"/>
              </w:rPr>
              <w:t>珠江</w:t>
            </w:r>
            <w:r>
              <w:rPr>
                <w:rFonts w:ascii="仿宋_GB2312" w:hAnsi="宋体" w:eastAsia="仿宋_GB2312" w:cs="仿宋_GB2312"/>
                <w:color w:val="000000"/>
                <w:sz w:val="16"/>
                <w:szCs w:val="16"/>
              </w:rPr>
              <w:t>三角洲国土空间规划编制1项未完成</w:t>
            </w:r>
          </w:p>
        </w:tc>
        <w:tc>
          <w:tcPr>
            <w:tcW w:w="3681" w:type="dxa"/>
            <w:gridSpan w:val="5"/>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根据评价对象设置指标名称和分数权重，包括完成实际完成情况（数量指标）、及时性（时效指标）、质量达标（质量指标）情况等。</w:t>
            </w:r>
          </w:p>
        </w:tc>
      </w:tr>
      <w:tr>
        <w:tblPrEx>
          <w:tblLayout w:type="fixed"/>
          <w:tblCellMar>
            <w:top w:w="0" w:type="dxa"/>
            <w:left w:w="0" w:type="dxa"/>
            <w:bottom w:w="0" w:type="dxa"/>
            <w:right w:w="0" w:type="dxa"/>
          </w:tblCellMar>
        </w:tblPrEx>
        <w:trPr>
          <w:trHeight w:val="1349"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textAlignment w:val="center"/>
              <w:rPr>
                <w:rFonts w:ascii="仿宋_GB2312" w:hAnsi="宋体" w:eastAsia="仿宋_GB2312" w:cs="仿宋_GB2312"/>
                <w:color w:val="000000"/>
                <w:kern w:val="0"/>
                <w:sz w:val="16"/>
                <w:szCs w:val="16"/>
                <w:lang w:bidi="ar"/>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广东省国土空间规划“一张图”实施监督信息平台</w:t>
            </w:r>
            <w:r>
              <w:rPr>
                <w:rFonts w:hint="eastAsia" w:ascii="仿宋_GB2312" w:hAnsi="宋体" w:eastAsia="仿宋_GB2312" w:cs="仿宋_GB2312"/>
                <w:color w:val="000000"/>
                <w:kern w:val="0"/>
                <w:sz w:val="16"/>
                <w:szCs w:val="16"/>
                <w:lang w:bidi="ar"/>
              </w:rPr>
              <w:t>建设</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5</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完成</w:t>
            </w:r>
            <w:r>
              <w:rPr>
                <w:rFonts w:ascii="仿宋_GB2312" w:hAnsi="宋体" w:eastAsia="仿宋_GB2312" w:cs="仿宋_GB2312"/>
                <w:color w:val="000000"/>
                <w:kern w:val="0"/>
                <w:sz w:val="16"/>
                <w:szCs w:val="16"/>
                <w:lang w:bidi="ar"/>
              </w:rPr>
              <w:t>广东省国土空间规划“一张图”实施监督信息平台</w:t>
            </w:r>
            <w:r>
              <w:rPr>
                <w:rFonts w:hint="eastAsia" w:ascii="仿宋_GB2312" w:hAnsi="宋体" w:eastAsia="仿宋_GB2312" w:cs="仿宋_GB2312"/>
                <w:color w:val="000000"/>
                <w:kern w:val="0"/>
                <w:sz w:val="16"/>
                <w:szCs w:val="16"/>
                <w:lang w:bidi="ar"/>
              </w:rPr>
              <w:t>建设</w:t>
            </w: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已完成</w:t>
            </w: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r>
              <w:rPr>
                <w:rFonts w:hint="eastAsia" w:ascii="仿宋_GB2312" w:hAnsi="宋体" w:eastAsia="仿宋_GB2312" w:cs="仿宋_GB2312"/>
                <w:kern w:val="0"/>
                <w:sz w:val="16"/>
                <w:szCs w:val="16"/>
                <w:lang w:bidi="ar"/>
              </w:rPr>
              <w:t>5</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p>
        </w:tc>
        <w:tc>
          <w:tcPr>
            <w:tcW w:w="3681" w:type="dxa"/>
            <w:gridSpan w:val="5"/>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r>
      <w:tr>
        <w:tblPrEx>
          <w:tblLayout w:type="fixed"/>
          <w:tblCellMar>
            <w:top w:w="0" w:type="dxa"/>
            <w:left w:w="0" w:type="dxa"/>
            <w:bottom w:w="0" w:type="dxa"/>
            <w:right w:w="0" w:type="dxa"/>
          </w:tblCellMar>
        </w:tblPrEx>
        <w:trPr>
          <w:trHeight w:val="1041"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textAlignment w:val="center"/>
              <w:rPr>
                <w:rFonts w:ascii="仿宋_GB2312" w:hAnsi="宋体" w:eastAsia="仿宋_GB2312" w:cs="仿宋_GB2312"/>
                <w:color w:val="000000"/>
                <w:kern w:val="0"/>
                <w:sz w:val="16"/>
                <w:szCs w:val="16"/>
                <w:lang w:bidi="ar"/>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r>
              <w:rPr>
                <w:rFonts w:hint="eastAsia" w:ascii="仿宋_GB2312" w:hAnsi="宋体" w:eastAsia="仿宋_GB2312" w:cs="仿宋_GB2312"/>
                <w:color w:val="000000"/>
                <w:sz w:val="16"/>
                <w:szCs w:val="16"/>
              </w:rPr>
              <w:t>技术联盟专题研究</w:t>
            </w:r>
          </w:p>
        </w:tc>
        <w:tc>
          <w:tcPr>
            <w:tcW w:w="3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5</w:t>
            </w:r>
          </w:p>
        </w:tc>
        <w:tc>
          <w:tcPr>
            <w:tcW w:w="2425"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完成6个专题研究及珠三角国土空间规划编制工作</w:t>
            </w: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完成专题研究，珠三角空间规划尚在编制中</w:t>
            </w: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r>
              <w:rPr>
                <w:rFonts w:hint="eastAsia" w:ascii="仿宋_GB2312" w:hAnsi="宋体" w:eastAsia="仿宋_GB2312" w:cs="仿宋_GB2312"/>
                <w:kern w:val="0"/>
                <w:sz w:val="16"/>
                <w:szCs w:val="16"/>
                <w:lang w:bidi="ar"/>
              </w:rPr>
              <w:t>2</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r>
              <w:rPr>
                <w:rFonts w:hint="eastAsia" w:ascii="仿宋_GB2312" w:hAnsi="宋体" w:eastAsia="仿宋_GB2312" w:cs="仿宋_GB2312"/>
                <w:kern w:val="0"/>
                <w:sz w:val="16"/>
                <w:szCs w:val="16"/>
                <w:lang w:bidi="ar"/>
              </w:rPr>
              <w:t>珠三角国土空间规划尚未完成</w:t>
            </w:r>
          </w:p>
        </w:tc>
        <w:tc>
          <w:tcPr>
            <w:tcW w:w="3681" w:type="dxa"/>
            <w:gridSpan w:val="5"/>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r>
      <w:tr>
        <w:tblPrEx>
          <w:tblLayout w:type="fixed"/>
          <w:tblCellMar>
            <w:top w:w="0" w:type="dxa"/>
            <w:left w:w="0" w:type="dxa"/>
            <w:bottom w:w="0" w:type="dxa"/>
            <w:right w:w="0" w:type="dxa"/>
          </w:tblCellMar>
        </w:tblPrEx>
        <w:trPr>
          <w:trHeight w:val="3563" w:hRule="atLeast"/>
        </w:trPr>
        <w:tc>
          <w:tcPr>
            <w:tcW w:w="33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效益</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30</w:t>
            </w:r>
          </w:p>
        </w:tc>
        <w:tc>
          <w:tcPr>
            <w:tcW w:w="32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效果性</w:t>
            </w:r>
          </w:p>
        </w:tc>
        <w:tc>
          <w:tcPr>
            <w:tcW w:w="351"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25</w:t>
            </w:r>
          </w:p>
        </w:tc>
        <w:tc>
          <w:tcPr>
            <w:tcW w:w="8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社会经济效益</w:t>
            </w:r>
          </w:p>
        </w:tc>
        <w:tc>
          <w:tcPr>
            <w:tcW w:w="338"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20</w:t>
            </w:r>
          </w:p>
        </w:tc>
        <w:tc>
          <w:tcPr>
            <w:tcW w:w="109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sz w:val="16"/>
                <w:szCs w:val="16"/>
              </w:rPr>
              <w:t>为规划编制提供技术制度保障</w:t>
            </w:r>
          </w:p>
        </w:tc>
        <w:tc>
          <w:tcPr>
            <w:tcW w:w="3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4</w:t>
            </w:r>
          </w:p>
        </w:tc>
        <w:tc>
          <w:tcPr>
            <w:tcW w:w="242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完善广东省空间规划编制的相关制度</w:t>
            </w:r>
          </w:p>
        </w:tc>
        <w:tc>
          <w:tcPr>
            <w:tcW w:w="2738"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pStyle w:val="3"/>
              <w:widowControl/>
              <w:shd w:val="clear" w:color="auto" w:fill="FFFFFF"/>
              <w:spacing w:before="150" w:beforeAutospacing="0" w:after="188" w:afterAutospacing="0"/>
              <w:ind w:firstLine="320" w:firstLineChars="200"/>
              <w:rPr>
                <w:rFonts w:hint="default" w:ascii="仿宋_GB2312" w:eastAsia="仿宋_GB2312" w:cs="仿宋_GB2312"/>
                <w:color w:val="000000"/>
                <w:sz w:val="16"/>
                <w:szCs w:val="16"/>
              </w:rPr>
            </w:pPr>
            <w:r>
              <w:rPr>
                <w:rFonts w:ascii="仿宋_GB2312" w:eastAsia="仿宋_GB2312" w:cs="仿宋_GB2312"/>
                <w:b w:val="0"/>
                <w:color w:val="000000"/>
                <w:kern w:val="0"/>
                <w:sz w:val="16"/>
                <w:szCs w:val="16"/>
                <w:lang w:bidi="ar"/>
              </w:rPr>
              <w:t>印发了《广东省自然资源厅2020年国土空间规划工作要点》，提出了提出开展实施“十大工程”，加快国土空间规划体系建设，这十大工程包括“规划编制”工程；“三线划定”工程；“村规提升”工程；“详规优化”工程；“制度建设”工程；“标准建设”工程；“系统建设”工程；“驿道增辉”工程；“民生保障”工程；“阳光规划”工程，为全省空间规划编制工作提出了明确的要求，指明了工作方向。</w:t>
            </w: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16"/>
                <w:szCs w:val="16"/>
              </w:rPr>
            </w:pPr>
            <w:r>
              <w:rPr>
                <w:rFonts w:hint="eastAsia" w:ascii="仿宋_GB2312" w:hAnsi="宋体" w:eastAsia="仿宋_GB2312" w:cs="仿宋_GB2312"/>
                <w:kern w:val="0"/>
                <w:sz w:val="16"/>
                <w:szCs w:val="16"/>
                <w:lang w:bidi="ar"/>
              </w:rPr>
              <w:t>4</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sz w:val="16"/>
                <w:szCs w:val="16"/>
              </w:rPr>
            </w:pPr>
            <w:r>
              <w:rPr>
                <w:rFonts w:ascii="仿宋_GB2312" w:hAnsi="宋体" w:eastAsia="仿宋_GB2312" w:cs="仿宋_GB2312"/>
                <w:kern w:val="0"/>
                <w:sz w:val="16"/>
                <w:szCs w:val="16"/>
                <w:lang w:bidi="ar"/>
              </w:rPr>
              <w:t>规划编制刚完成，尚未正式发布，故规划应该产生效果目前尚未完全显现。</w:t>
            </w:r>
          </w:p>
        </w:tc>
        <w:tc>
          <w:tcPr>
            <w:tcW w:w="3681" w:type="dxa"/>
            <w:gridSpan w:val="5"/>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根据评价对象选择效果性指标，并相应设置指标名称和分数权重。</w:t>
            </w:r>
          </w:p>
        </w:tc>
      </w:tr>
      <w:tr>
        <w:tblPrEx>
          <w:tblLayout w:type="fixed"/>
          <w:tblCellMar>
            <w:top w:w="0" w:type="dxa"/>
            <w:left w:w="0" w:type="dxa"/>
            <w:bottom w:w="0" w:type="dxa"/>
            <w:right w:w="0" w:type="dxa"/>
          </w:tblCellMar>
        </w:tblPrEx>
        <w:trPr>
          <w:trHeight w:val="644"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109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sz w:val="16"/>
                <w:szCs w:val="16"/>
              </w:rPr>
              <w:t>规划应用效果</w:t>
            </w:r>
          </w:p>
        </w:tc>
        <w:tc>
          <w:tcPr>
            <w:tcW w:w="3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8</w:t>
            </w:r>
          </w:p>
        </w:tc>
        <w:tc>
          <w:tcPr>
            <w:tcW w:w="242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落实省域国土空间开发保护总体战略目标，整体谋划新时代国土空间开发保护格局提供规划支撑，是省域内空间开发、资源配置、用途管控的重要依据。全省空间规划的编制，对统筹优化生态保护红线、永久基本农田、城镇开发边界以及各类海域保护线划定成果，明确省域重点发展地区，统筹各类自然资源要素配置，强化底线约束，为可持续发展预留空间。保护生态屏障，构建生态廊道和生态网络，加强生态环境分区管治，推进国土空间生态整体保护和系统修复有重要意义。</w:t>
            </w:r>
          </w:p>
        </w:tc>
        <w:tc>
          <w:tcPr>
            <w:tcW w:w="2738"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规划刚完成，尚未通过省政府审批发布，规划实施的效果尚未在实际工作中发挥作用。</w:t>
            </w: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r>
              <w:rPr>
                <w:rFonts w:hint="eastAsia" w:ascii="仿宋_GB2312" w:hAnsi="宋体" w:eastAsia="仿宋_GB2312" w:cs="仿宋_GB2312"/>
                <w:kern w:val="0"/>
                <w:sz w:val="16"/>
                <w:szCs w:val="16"/>
                <w:lang w:bidi="ar"/>
              </w:rPr>
              <w:t>4</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p>
        </w:tc>
        <w:tc>
          <w:tcPr>
            <w:tcW w:w="3681" w:type="dxa"/>
            <w:gridSpan w:val="5"/>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r>
      <w:tr>
        <w:tblPrEx>
          <w:tblLayout w:type="fixed"/>
          <w:tblCellMar>
            <w:top w:w="0" w:type="dxa"/>
            <w:left w:w="0" w:type="dxa"/>
            <w:bottom w:w="0" w:type="dxa"/>
            <w:right w:w="0" w:type="dxa"/>
          </w:tblCellMar>
        </w:tblPrEx>
        <w:trPr>
          <w:trHeight w:val="66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109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广东省国土空间规划“一张图”实施监督信息平台</w:t>
            </w:r>
            <w:r>
              <w:rPr>
                <w:rFonts w:hint="eastAsia" w:ascii="仿宋_GB2312" w:hAnsi="宋体" w:eastAsia="仿宋_GB2312" w:cs="仿宋_GB2312"/>
                <w:color w:val="000000"/>
                <w:kern w:val="0"/>
                <w:sz w:val="16"/>
                <w:szCs w:val="16"/>
                <w:lang w:bidi="ar"/>
              </w:rPr>
              <w:t>对规划实施的保障作用</w:t>
            </w:r>
          </w:p>
        </w:tc>
        <w:tc>
          <w:tcPr>
            <w:tcW w:w="3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4</w:t>
            </w:r>
          </w:p>
        </w:tc>
        <w:tc>
          <w:tcPr>
            <w:tcW w:w="242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spacing w:line="360" w:lineRule="auto"/>
              <w:rPr>
                <w:rFonts w:ascii="Calibri" w:hAnsi="Calibri" w:eastAsia="仿宋_GB2312"/>
                <w:kern w:val="0"/>
                <w:sz w:val="32"/>
                <w:szCs w:val="32"/>
              </w:rPr>
            </w:pPr>
            <w:r>
              <w:rPr>
                <w:rFonts w:hint="eastAsia" w:ascii="仿宋_GB2312" w:hAnsi="宋体" w:eastAsia="仿宋_GB2312" w:cs="仿宋_GB2312"/>
                <w:color w:val="000000"/>
                <w:kern w:val="0"/>
                <w:sz w:val="16"/>
                <w:szCs w:val="16"/>
                <w:lang w:bidi="ar"/>
              </w:rPr>
              <w:t>实现上下贯通、横向联通，可快速获取指标体系所需的其他相关部门、行业的在线数据，提升广东国土空间大数据集成能力、精准监测评估预警能力和国土空间治理能力，有效支撑空间规划审批、实施、监测、评估和预警全过程，全面提升广东省国土空间治理体系和治理能力现代化水平。</w:t>
            </w:r>
          </w:p>
          <w:p>
            <w:pPr>
              <w:widowControl/>
              <w:jc w:val="center"/>
              <w:textAlignment w:val="center"/>
              <w:rPr>
                <w:rFonts w:ascii="仿宋_GB2312" w:hAnsi="宋体" w:eastAsia="仿宋_GB2312" w:cs="仿宋_GB2312"/>
                <w:color w:val="000000"/>
                <w:kern w:val="0"/>
                <w:sz w:val="16"/>
                <w:szCs w:val="16"/>
                <w:lang w:bidi="ar"/>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已实现</w:t>
            </w: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r>
              <w:rPr>
                <w:rFonts w:hint="eastAsia" w:ascii="仿宋_GB2312" w:hAnsi="宋体" w:eastAsia="仿宋_GB2312" w:cs="仿宋_GB2312"/>
                <w:kern w:val="0"/>
                <w:sz w:val="16"/>
                <w:szCs w:val="16"/>
                <w:lang w:bidi="ar"/>
              </w:rPr>
              <w:t>4</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p>
        </w:tc>
        <w:tc>
          <w:tcPr>
            <w:tcW w:w="3681" w:type="dxa"/>
            <w:gridSpan w:val="5"/>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r>
      <w:tr>
        <w:tblPrEx>
          <w:tblLayout w:type="fixed"/>
          <w:tblCellMar>
            <w:top w:w="0" w:type="dxa"/>
            <w:left w:w="0" w:type="dxa"/>
            <w:bottom w:w="0" w:type="dxa"/>
            <w:right w:w="0" w:type="dxa"/>
          </w:tblCellMar>
        </w:tblPrEx>
        <w:trPr>
          <w:trHeight w:val="66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8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p>
        </w:tc>
        <w:tc>
          <w:tcPr>
            <w:tcW w:w="109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sz w:val="16"/>
                <w:szCs w:val="16"/>
              </w:rPr>
              <w:t>技术联盟对全省空间规划编制的技术支撑作用</w:t>
            </w:r>
          </w:p>
        </w:tc>
        <w:tc>
          <w:tcPr>
            <w:tcW w:w="3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4</w:t>
            </w:r>
          </w:p>
        </w:tc>
        <w:tc>
          <w:tcPr>
            <w:tcW w:w="242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汇聚了城乡规划、土地利用规划、产业经济、海洋、林业、环保、交通、水利等多行业的技术机构和专家团队，为各级国土空间规划工作提供专业技术支撑和政策研究服务，加快推进全省统一的国土空间规划体系构建</w:t>
            </w:r>
          </w:p>
        </w:tc>
        <w:tc>
          <w:tcPr>
            <w:tcW w:w="2738"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kern w:val="0"/>
                <w:sz w:val="16"/>
                <w:szCs w:val="16"/>
                <w:lang w:bidi="ar"/>
              </w:rPr>
            </w:pPr>
            <w:r>
              <w:rPr>
                <w:rFonts w:hint="eastAsia" w:ascii="仿宋_GB2312" w:hAnsi="宋体" w:eastAsia="仿宋_GB2312" w:cs="仿宋_GB2312"/>
                <w:color w:val="000000"/>
                <w:kern w:val="0"/>
                <w:sz w:val="16"/>
                <w:szCs w:val="16"/>
                <w:lang w:bidi="ar"/>
              </w:rPr>
              <w:t>已实现，目前技术联盟共有省相关方面的二十多家单位组成，这些单位均是与空间规划编制相关的事业单位、企业组成。</w:t>
            </w: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r>
              <w:rPr>
                <w:rFonts w:hint="eastAsia" w:ascii="仿宋_GB2312" w:hAnsi="宋体" w:eastAsia="仿宋_GB2312" w:cs="仿宋_GB2312"/>
                <w:kern w:val="0"/>
                <w:sz w:val="16"/>
                <w:szCs w:val="16"/>
                <w:lang w:bidi="ar"/>
              </w:rPr>
              <w:t>4</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kern w:val="0"/>
                <w:sz w:val="16"/>
                <w:szCs w:val="16"/>
                <w:lang w:bidi="ar"/>
              </w:rPr>
            </w:pPr>
          </w:p>
        </w:tc>
        <w:tc>
          <w:tcPr>
            <w:tcW w:w="3681" w:type="dxa"/>
            <w:gridSpan w:val="5"/>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kern w:val="0"/>
                <w:sz w:val="16"/>
                <w:szCs w:val="16"/>
                <w:lang w:bidi="ar"/>
              </w:rPr>
            </w:pPr>
          </w:p>
        </w:tc>
      </w:tr>
      <w:tr>
        <w:tblPrEx>
          <w:tblLayout w:type="fixed"/>
          <w:tblCellMar>
            <w:top w:w="0" w:type="dxa"/>
            <w:left w:w="0" w:type="dxa"/>
            <w:bottom w:w="0" w:type="dxa"/>
            <w:right w:w="0" w:type="dxa"/>
          </w:tblCellMar>
        </w:tblPrEx>
        <w:trPr>
          <w:trHeight w:val="120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2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51"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可持续发展</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w:t>
            </w:r>
          </w:p>
        </w:tc>
        <w:tc>
          <w:tcPr>
            <w:tcW w:w="109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规划效果的可持续性</w:t>
            </w:r>
          </w:p>
        </w:tc>
        <w:tc>
          <w:tcPr>
            <w:tcW w:w="3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w:t>
            </w:r>
          </w:p>
        </w:tc>
        <w:tc>
          <w:tcPr>
            <w:tcW w:w="242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center"/>
              <w:rPr>
                <w:rFonts w:ascii="仿宋_GB2312" w:hAnsi="宋体" w:eastAsia="仿宋_GB2312" w:cs="仿宋_GB2312"/>
                <w:color w:val="000000"/>
                <w:sz w:val="16"/>
                <w:szCs w:val="16"/>
              </w:rPr>
            </w:pPr>
            <w:r>
              <w:rPr>
                <w:rFonts w:hint="eastAsia" w:ascii="仿宋_GB2312" w:hAnsi="宋体" w:eastAsia="仿宋_GB2312" w:cs="仿宋_GB2312"/>
                <w:color w:val="000000"/>
                <w:sz w:val="16"/>
                <w:szCs w:val="16"/>
              </w:rPr>
              <w:t>规划可持续实施</w:t>
            </w:r>
          </w:p>
        </w:tc>
        <w:tc>
          <w:tcPr>
            <w:tcW w:w="2738"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center"/>
              <w:rPr>
                <w:rFonts w:ascii="仿宋_GB2312" w:hAnsi="宋体" w:eastAsia="仿宋_GB2312" w:cs="仿宋_GB2312"/>
                <w:color w:val="000000"/>
                <w:sz w:val="16"/>
                <w:szCs w:val="16"/>
              </w:rPr>
            </w:pPr>
            <w:r>
              <w:rPr>
                <w:rFonts w:hint="eastAsia" w:ascii="仿宋_GB2312" w:hAnsi="宋体" w:eastAsia="仿宋_GB2312" w:cs="仿宋_GB2312"/>
                <w:color w:val="000000"/>
                <w:sz w:val="16"/>
                <w:szCs w:val="16"/>
              </w:rPr>
              <w:t>规划编制的近期是2025年中期时2030年，原其实2035年，展望时2050年，具有良好的可持续性。</w:t>
            </w:r>
          </w:p>
        </w:tc>
        <w:tc>
          <w:tcPr>
            <w:tcW w:w="4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w:t>
            </w:r>
          </w:p>
        </w:tc>
        <w:tc>
          <w:tcPr>
            <w:tcW w:w="1447"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反映规划编制完成后，在其基期内是否能够持续发挥作用。</w:t>
            </w:r>
          </w:p>
        </w:tc>
      </w:tr>
      <w:tr>
        <w:tblPrEx>
          <w:tblLayout w:type="fixed"/>
          <w:tblCellMar>
            <w:top w:w="0" w:type="dxa"/>
            <w:left w:w="0" w:type="dxa"/>
            <w:bottom w:w="0" w:type="dxa"/>
            <w:right w:w="0" w:type="dxa"/>
          </w:tblCellMar>
        </w:tblPrEx>
        <w:trPr>
          <w:trHeight w:val="420" w:hRule="atLeast"/>
        </w:trPr>
        <w:tc>
          <w:tcPr>
            <w:tcW w:w="338"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38" w:type="dxa"/>
            <w:gridSpan w:val="2"/>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公平性</w:t>
            </w:r>
          </w:p>
        </w:tc>
        <w:tc>
          <w:tcPr>
            <w:tcW w:w="35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w:t>
            </w:r>
          </w:p>
        </w:tc>
        <w:tc>
          <w:tcPr>
            <w:tcW w:w="8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满意度</w:t>
            </w:r>
          </w:p>
        </w:tc>
        <w:tc>
          <w:tcPr>
            <w:tcW w:w="338"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w:t>
            </w:r>
          </w:p>
        </w:tc>
        <w:tc>
          <w:tcPr>
            <w:tcW w:w="10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服务对象满意度</w:t>
            </w:r>
          </w:p>
        </w:tc>
        <w:tc>
          <w:tcPr>
            <w:tcW w:w="3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w:t>
            </w:r>
          </w:p>
        </w:tc>
        <w:tc>
          <w:tcPr>
            <w:tcW w:w="242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center"/>
              <w:rPr>
                <w:rFonts w:ascii="仿宋_GB2312" w:hAnsi="宋体" w:eastAsia="仿宋_GB2312" w:cs="仿宋_GB2312"/>
                <w:color w:val="000000"/>
                <w:sz w:val="16"/>
                <w:szCs w:val="16"/>
              </w:rPr>
            </w:pPr>
            <w:r>
              <w:rPr>
                <w:rFonts w:hint="eastAsia" w:ascii="仿宋_GB2312" w:hAnsi="宋体" w:eastAsia="仿宋_GB2312" w:cs="仿宋_GB2312"/>
                <w:color w:val="000000"/>
                <w:sz w:val="16"/>
                <w:szCs w:val="16"/>
              </w:rPr>
              <w:t>规划编制相关的部门及单位对规划满意度大于85%</w:t>
            </w:r>
          </w:p>
        </w:tc>
        <w:tc>
          <w:tcPr>
            <w:tcW w:w="2738"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center"/>
              <w:rPr>
                <w:rFonts w:ascii="仿宋_GB2312" w:hAnsi="宋体" w:eastAsia="仿宋_GB2312" w:cs="仿宋_GB2312"/>
                <w:color w:val="000000"/>
                <w:sz w:val="16"/>
                <w:szCs w:val="16"/>
              </w:rPr>
            </w:pPr>
            <w:r>
              <w:rPr>
                <w:rFonts w:hint="eastAsia" w:ascii="仿宋_GB2312" w:hAnsi="宋体" w:eastAsia="仿宋_GB2312" w:cs="仿宋_GB2312"/>
                <w:color w:val="000000"/>
                <w:sz w:val="16"/>
                <w:szCs w:val="16"/>
              </w:rPr>
              <w:t>通过问卷调查，相关部门及单位对规划编制的满意度为87.5%。</w:t>
            </w:r>
          </w:p>
        </w:tc>
        <w:tc>
          <w:tcPr>
            <w:tcW w:w="482"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5</w:t>
            </w:r>
          </w:p>
        </w:tc>
        <w:tc>
          <w:tcPr>
            <w:tcW w:w="1447"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表示满意的服务对象数/项目覆盖范围内接受调查的对象总数*指标分值。</w:t>
            </w:r>
          </w:p>
        </w:tc>
      </w:tr>
      <w:tr>
        <w:tblPrEx>
          <w:tblLayout w:type="fixed"/>
          <w:tblCellMar>
            <w:top w:w="0" w:type="dxa"/>
            <w:left w:w="0" w:type="dxa"/>
            <w:bottom w:w="0" w:type="dxa"/>
            <w:right w:w="0" w:type="dxa"/>
          </w:tblCellMar>
        </w:tblPrEx>
        <w:trPr>
          <w:trHeight w:val="960" w:hRule="atLeast"/>
        </w:trPr>
        <w:tc>
          <w:tcPr>
            <w:tcW w:w="3619" w:type="dxa"/>
            <w:gridSpan w:val="10"/>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b/>
                <w:color w:val="000000"/>
                <w:sz w:val="16"/>
                <w:szCs w:val="16"/>
              </w:rPr>
            </w:pPr>
            <w:r>
              <w:rPr>
                <w:rFonts w:ascii="仿宋_GB2312" w:hAnsi="宋体" w:eastAsia="仿宋_GB2312" w:cs="仿宋_GB2312"/>
                <w:b/>
                <w:color w:val="000000"/>
                <w:kern w:val="0"/>
                <w:sz w:val="16"/>
                <w:szCs w:val="16"/>
                <w:lang w:bidi="ar"/>
              </w:rPr>
              <w:t>总        分</w:t>
            </w:r>
          </w:p>
        </w:tc>
        <w:tc>
          <w:tcPr>
            <w:tcW w:w="3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100</w:t>
            </w:r>
          </w:p>
        </w:tc>
        <w:tc>
          <w:tcPr>
            <w:tcW w:w="242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center"/>
              <w:rPr>
                <w:rFonts w:ascii="仿宋_GB2312" w:hAnsi="宋体" w:eastAsia="仿宋_GB2312" w:cs="仿宋_GB2312"/>
                <w:color w:val="000000"/>
                <w:sz w:val="16"/>
                <w:szCs w:val="16"/>
              </w:rPr>
            </w:pPr>
          </w:p>
        </w:tc>
        <w:tc>
          <w:tcPr>
            <w:tcW w:w="2738"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4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16"/>
                <w:szCs w:val="16"/>
              </w:rPr>
            </w:pPr>
            <w:r>
              <w:rPr>
                <w:rFonts w:ascii="仿宋_GB2312" w:hAnsi="宋体" w:eastAsia="仿宋_GB2312" w:cs="仿宋_GB2312"/>
                <w:color w:val="000000"/>
                <w:kern w:val="0"/>
                <w:sz w:val="16"/>
                <w:szCs w:val="16"/>
                <w:lang w:bidi="ar"/>
              </w:rPr>
              <w:t>92.51</w:t>
            </w:r>
          </w:p>
        </w:tc>
        <w:tc>
          <w:tcPr>
            <w:tcW w:w="1447"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c>
          <w:tcPr>
            <w:tcW w:w="3681" w:type="dxa"/>
            <w:gridSpan w:val="5"/>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left"/>
              <w:rPr>
                <w:rFonts w:ascii="仿宋_GB2312" w:hAnsi="宋体" w:eastAsia="仿宋_GB2312" w:cs="仿宋_GB2312"/>
                <w:color w:val="000000"/>
                <w:sz w:val="16"/>
                <w:szCs w:val="16"/>
              </w:rPr>
            </w:pPr>
          </w:p>
        </w:tc>
      </w:tr>
    </w:tbl>
    <w:p>
      <w:pPr>
        <w:pStyle w:val="2"/>
        <w:ind w:firstLine="0" w:firstLineChars="0"/>
      </w:pPr>
    </w:p>
    <w:p>
      <w:pPr>
        <w:pStyle w:val="2"/>
        <w:ind w:firstLine="360"/>
        <w:rPr>
          <w:rFonts w:ascii="Times New Roman" w:hAnsi="Times New Roman"/>
          <w:b w:val="0"/>
          <w:bCs w:val="0"/>
          <w:color w:val="000000"/>
          <w:sz w:val="18"/>
          <w:szCs w:val="18"/>
          <w:lang w:bidi="ar"/>
        </w:rPr>
        <w:sectPr>
          <w:pgSz w:w="16783" w:h="11850"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15"/>
        <w:tblW w:w="8772" w:type="dxa"/>
        <w:tblInd w:w="0" w:type="dxa"/>
        <w:tblLayout w:type="fixed"/>
        <w:tblCellMar>
          <w:top w:w="0" w:type="dxa"/>
          <w:left w:w="0" w:type="dxa"/>
          <w:bottom w:w="0" w:type="dxa"/>
          <w:right w:w="0" w:type="dxa"/>
        </w:tblCellMar>
      </w:tblPr>
      <w:tblGrid>
        <w:gridCol w:w="653"/>
        <w:gridCol w:w="1660"/>
        <w:gridCol w:w="1107"/>
        <w:gridCol w:w="4944"/>
        <w:gridCol w:w="408"/>
      </w:tblGrid>
      <w:tr>
        <w:tblPrEx>
          <w:tblLayout w:type="fixed"/>
          <w:tblCellMar>
            <w:top w:w="0" w:type="dxa"/>
            <w:left w:w="0" w:type="dxa"/>
            <w:bottom w:w="0" w:type="dxa"/>
            <w:right w:w="0" w:type="dxa"/>
          </w:tblCellMar>
        </w:tblPrEx>
        <w:trPr>
          <w:trHeight w:val="420" w:hRule="atLeast"/>
        </w:trPr>
        <w:tc>
          <w:tcPr>
            <w:tcW w:w="8772" w:type="dxa"/>
            <w:gridSpan w:val="5"/>
            <w:tcBorders>
              <w:top w:val="nil"/>
              <w:left w:val="nil"/>
              <w:bottom w:val="single" w:color="auto" w:sz="4" w:space="0"/>
              <w:right w:val="nil"/>
            </w:tcBorders>
            <w:shd w:val="clear" w:color="auto" w:fill="auto"/>
            <w:noWrap/>
            <w:tcMar>
              <w:top w:w="10" w:type="dxa"/>
              <w:left w:w="10" w:type="dxa"/>
              <w:right w:w="10" w:type="dxa"/>
            </w:tcMar>
            <w:vAlign w:val="center"/>
          </w:tcPr>
          <w:p>
            <w:pPr>
              <w:widowControl/>
              <w:jc w:val="left"/>
              <w:textAlignment w:val="center"/>
              <w:rPr>
                <w:rFonts w:ascii="黑体" w:hAnsi="黑体" w:eastAsia="黑体" w:cs="黑体"/>
                <w:bCs/>
                <w:color w:val="000000"/>
                <w:kern w:val="0"/>
                <w:szCs w:val="21"/>
                <w:lang w:bidi="ar"/>
              </w:rPr>
            </w:pPr>
            <w:r>
              <w:rPr>
                <w:rFonts w:hint="eastAsia" w:ascii="黑体" w:hAnsi="黑体" w:eastAsia="黑体" w:cs="黑体"/>
                <w:bCs/>
                <w:color w:val="000000"/>
                <w:kern w:val="0"/>
                <w:szCs w:val="21"/>
                <w:lang w:bidi="ar"/>
              </w:rPr>
              <w:t>附件2</w:t>
            </w:r>
          </w:p>
          <w:p>
            <w:pPr>
              <w:widowControl/>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2019年度国土空间规划佐证材料清单</w:t>
            </w:r>
          </w:p>
        </w:tc>
      </w:tr>
      <w:tr>
        <w:tblPrEx>
          <w:tblLayout w:type="fixed"/>
          <w:tblCellMar>
            <w:top w:w="0" w:type="dxa"/>
            <w:left w:w="0" w:type="dxa"/>
            <w:bottom w:w="0" w:type="dxa"/>
            <w:right w:w="0" w:type="dxa"/>
          </w:tblCellMar>
        </w:tblPrEx>
        <w:trPr>
          <w:trHeight w:val="300" w:hRule="atLeast"/>
        </w:trPr>
        <w:tc>
          <w:tcPr>
            <w:tcW w:w="653"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类别</w:t>
            </w: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佐证材料类型</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材料编号</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佐证材料名称及文号</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备注</w:t>
            </w:r>
          </w:p>
        </w:tc>
      </w:tr>
      <w:tr>
        <w:tblPrEx>
          <w:tblLayout w:type="fixed"/>
          <w:tblCellMar>
            <w:top w:w="0" w:type="dxa"/>
            <w:left w:w="0" w:type="dxa"/>
            <w:bottom w:w="0" w:type="dxa"/>
            <w:right w:w="0" w:type="dxa"/>
          </w:tblCellMar>
        </w:tblPrEx>
        <w:trPr>
          <w:trHeight w:val="900" w:hRule="atLeast"/>
        </w:trPr>
        <w:tc>
          <w:tcPr>
            <w:tcW w:w="653" w:type="dxa"/>
            <w:vMerge w:val="restart"/>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center"/>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绩效</w:t>
            </w:r>
          </w:p>
          <w:p>
            <w:pPr>
              <w:widowControl/>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目标</w:t>
            </w: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部门职能文件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附件1-1</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关于印发《广东省自然资源厅职能配置、内设机构和人员编制规定的通知》（粤办发〔2018〕103号）</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46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预算申报文件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附件1-2</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广东省国土空间规划省级财政预算项目绩效目标申报表</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预算申报文件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附件1-3</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区域协调发展战略专项资金-城乡规划-城乡规划建设管理绩效目标申报表</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4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年度计划</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附件1-4</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广东省国土空间规划（2020-2035年）实施方案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4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年度计划</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附件1-5</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广东省国土空间规划“一张图”实施监督信息平台建设项目实施方案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42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年度计划</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附件1-6</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广东省国土空间规划监测评估预警管理系统建设方案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6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年度计划</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附件1-7</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广东省国土空间规划监测评估预警管理系统建设项目经费预算</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980" w:hRule="atLeast"/>
        </w:trPr>
        <w:tc>
          <w:tcPr>
            <w:tcW w:w="6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资金使用管理类</w:t>
            </w: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省财政资金下达文件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附件2-1</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关于下达2019年灾害防治及应急管理（地质灾害、城市地质、空间规划）资金（第一批）的通知（ 粤财工〔2019〕41号）</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省财政资金下达文件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附件2-2</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关于批复 2019 年省级部门预算的通知（粤财预〔2019〕35号）</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主管部门的资金下达文件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附件2-3-1</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关于批复2019年预算分解指标的通知</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主管部门的资金下达文件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附件2-3-2</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2019年部门预算批复汇总表及明细表</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资金管理办法</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附件2-4</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规划院财务管理相关制度</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6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资金支出明细表</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附件2-5</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资金支出明细表</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restart"/>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事项</w:t>
            </w:r>
          </w:p>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管理类</w:t>
            </w: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招标合同</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广东省国土空间规划（2020-2035）编制合同</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招标合同</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广东省国土空间规划“一张图”实施监督信息平台建设项目合同</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招标合同</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广东省国土空间规划“一张图”实施监督信息平台建设监理项目合同</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招标合同</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附件3-4</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“一核一带一区”区域发展新格局的国土空间响应编制服务</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招标合同</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附件3-5</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《粤港澳大湾区背景下的珠三角国土空间优化和区域协同发展》研究合同</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招标合同</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附件3-6</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科学编制实施乡村规划促进乡村振兴研究合同</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招标合同</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附件3-7</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广东省主体功能区分区优化及粤北生态发展区支持政策研究合同</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招标合同</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附件3-8</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规划修改流程优化及相关数据整理入库</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招标合同</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附件3-9</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新型城镇化战略下的广东省城镇（人口）、用地发展趋势和支撑关系研究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附件3-10</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广东省国土空间规划（2020-2035年）用户需求书</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附件3-11</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广东省国土空间规划（2020-2035）编制采购代理委托协议</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附件3-12</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广东省国土空间规划（2020-2035）编制会审表</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附件3-13</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广东省国土空间规划（2020-2035年）评标方法及其它要求</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46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附件3-14</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广东省国土空间规划（2020-2035）编制中标确认函</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4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附件3-15</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系统建设需求方案初稿</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附件3-16</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广东省国土空间规划监测评估预警管理系统建设项目经费预算说明</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附件3-17</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广东省国土空间规划“一张图”实施监督信息平台建设项目采购代理委托协议</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附件3-18</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广东省国土空间规划“一张图”实施监督信息平台建设项目会审表</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招标材料</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附件3-19</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广东省国土空间规划“一张图”实施监督信息平台建设项目中标确认函</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验收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附件3-20</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“一核一带一区”区域发展新格局的国土空间响应</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验收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附件3-21</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《粤港澳大湾区背景下的珠三角国土空间优化和区域协同发展》研究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验收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附件3-22</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广东省主体功能区分区优化及粤北生态发展区支持政策研究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4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验收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附件3-23</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科学编制实施乡村规划促进乡村振兴研究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验收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附件3-24</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新型城镇化战略下的广东省城镇（人口）、用地发展趋势和支撑关系研究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42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验收</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附件3-25</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规划修改流程优化及相关数据整理入库</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附件3-26</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《广东省国土空间规划（2020-2035年）》编制服务月报-7月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附件3-27</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《广东省国土空间规划（2020-2035年）》编制服务月报-8月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附件3-28</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《广东省国土空间规划（2020-2035年）》编制服务月报-9月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附件3-29</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《广东省国土空间规划（2020-2035年）》编制服务月报-10月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附件3-30</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《广东省主体功能区分区优化及粤北生态发展区支持政策研究》项目月报9、10、11月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附件3-31</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《广东省主体功能区分区优化及粤北生态发展区支持政策研究》项目月报12月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附件3-32</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科学编制实施乡村规划促进乡村振兴研究项目月报 9、10、11、12月</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附件3-33</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《粤港澳大湾区背景下的珠三角国土空间优化和区域协同发展》（月报）</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附件3-34</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新型城镇化战略下的广东省城镇（人口）、用地发展趋势和支撑关系研究（月报）</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监督管理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附件3-35</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“一核一带一区”区域发展新格局的国土空间响应编制服务月报</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附件3-36</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中共中央 国务院关于建立国土空间规划体系并监督实施的若干意见（中发〔2019〕18号）</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附件3-37</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自然资源部关于全面开展国土空间规划工作的通知(自然资发〔2019〕87号</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9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项目管理</w:t>
            </w: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附件3-38</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自然资源部办公厅关于开展国土空间规划“一张图”建设和现状评估工作的通知(自然资办发〔2019〕38号</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restart"/>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绩效表现类</w:t>
            </w: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《“一核一带一区”区域发展新格局的国土空间响应》研究报告</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附件4-2</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广东省主体功能区分区优化及粤北生态发展区支持政策研究报告</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附件4-3</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科学编制实施村庄规划促进乡村振兴研究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附件4-4</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珠三角专题报告</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附件4-5</w:t>
            </w:r>
          </w:p>
        </w:tc>
        <w:tc>
          <w:tcPr>
            <w:tcW w:w="494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新型城镇化战略下的城镇（人口）与用地发展趋势和支撑关系研究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42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附件4-6</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现有省级空间性规划的总结评估</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8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附件4-7</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广东省资源环境承载能力和国土空间开适宜性评价</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4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附件4-8</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国土空间规划目标与战略研究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6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附件4-9</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国土空间规划指标体系研究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8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附件4-10</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国土开发保护空间格局优化和管控</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6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附件4-11</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海洋国土空间开发保护与陆海统筹</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4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附件4-12</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“一核一带一区”区域发展新格局的国土空间响应</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附件4-13</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粤港澳大湾区背景下的珠三角国土空间优化与区域协同发展</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6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附件4-14</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新型城镇化战略下的广东省城镇（人口）、用地发展趋势和支撑关系研究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附件4-15</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产业空间布局及要素配置政策研究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附件4-16</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综合交通运输体系建设及要素布局研究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附件4-17</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乡村振兴和农业空间布局研究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附件4-18</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国土综合整治和生态保护修复</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附件4-19</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广东省以国家公园为主体的自然保护地体系研究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附件4-20</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存量建设用地再开发研究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附件4-21</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国土空间高品质利用与地域文化保护利用</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附件4-22</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国土安全及重大灾害防治</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附件4-23</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国内外先进空间规划对标分析</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附件4-24</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空间规划实施机制和政策支撑研究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附件4-25</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国土空间用途管制制度创新研究</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r>
        <w:tblPrEx>
          <w:tblLayout w:type="fixed"/>
          <w:tblCellMar>
            <w:top w:w="0" w:type="dxa"/>
            <w:left w:w="0" w:type="dxa"/>
            <w:bottom w:w="0" w:type="dxa"/>
            <w:right w:w="0" w:type="dxa"/>
          </w:tblCellMar>
        </w:tblPrEx>
        <w:trPr>
          <w:trHeight w:val="300" w:hRule="atLeast"/>
        </w:trPr>
        <w:tc>
          <w:tcPr>
            <w:tcW w:w="653" w:type="dxa"/>
            <w:vMerge w:val="continue"/>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660"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c>
          <w:tcPr>
            <w:tcW w:w="110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widowControl/>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附件4-26</w:t>
            </w:r>
          </w:p>
        </w:tc>
        <w:tc>
          <w:tcPr>
            <w:tcW w:w="4944"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widowControl/>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大数据服务支撑</w:t>
            </w:r>
          </w:p>
        </w:tc>
        <w:tc>
          <w:tcPr>
            <w:tcW w:w="408"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pPr>
              <w:rPr>
                <w:rFonts w:ascii="仿宋_GB2312" w:hAnsi="仿宋_GB2312" w:eastAsia="仿宋_GB2312" w:cs="仿宋_GB2312"/>
                <w:color w:val="000000"/>
                <w:szCs w:val="21"/>
              </w:rPr>
            </w:pPr>
          </w:p>
        </w:tc>
      </w:tr>
    </w:tbl>
    <w:p>
      <w:pPr>
        <w:pStyle w:val="2"/>
        <w:ind w:firstLine="643"/>
      </w:pPr>
    </w:p>
    <w:p/>
    <w:p>
      <w:pPr>
        <w:rPr>
          <w:rFonts w:eastAsia="仿宋_GB2312"/>
          <w:color w:val="000000"/>
          <w:kern w:val="0"/>
          <w:sz w:val="18"/>
          <w:szCs w:val="18"/>
          <w:lang w:bidi="ar"/>
        </w:rPr>
      </w:pPr>
    </w:p>
    <w:p>
      <w:pPr>
        <w:pStyle w:val="2"/>
        <w:ind w:firstLine="360"/>
        <w:rPr>
          <w:rFonts w:ascii="Times New Roman" w:hAnsi="Times New Roman"/>
          <w:b w:val="0"/>
          <w:bCs w:val="0"/>
          <w:color w:val="000000"/>
          <w:sz w:val="18"/>
          <w:szCs w:val="18"/>
          <w:lang w:bidi="ar"/>
        </w:rPr>
      </w:pPr>
    </w:p>
    <w:p>
      <w:pPr>
        <w:rPr>
          <w:rFonts w:eastAsia="仿宋_GB2312"/>
          <w:color w:val="000000"/>
          <w:kern w:val="0"/>
          <w:sz w:val="18"/>
          <w:szCs w:val="18"/>
          <w:lang w:bidi="ar"/>
        </w:rPr>
      </w:pPr>
    </w:p>
    <w:p>
      <w:pPr>
        <w:pStyle w:val="2"/>
        <w:ind w:firstLine="360"/>
        <w:rPr>
          <w:rFonts w:ascii="Times New Roman" w:hAnsi="Times New Roman"/>
          <w:b w:val="0"/>
          <w:bCs w:val="0"/>
          <w:color w:val="000000"/>
          <w:sz w:val="18"/>
          <w:szCs w:val="18"/>
          <w:lang w:bidi="ar"/>
        </w:rPr>
      </w:pPr>
    </w:p>
    <w:p>
      <w:pPr>
        <w:rPr>
          <w:rFonts w:eastAsia="仿宋_GB2312"/>
          <w:color w:val="000000"/>
          <w:kern w:val="0"/>
          <w:sz w:val="18"/>
          <w:szCs w:val="18"/>
          <w:lang w:bidi="ar"/>
        </w:rPr>
      </w:pPr>
    </w:p>
    <w:p>
      <w:pPr>
        <w:pStyle w:val="2"/>
        <w:ind w:firstLine="360"/>
        <w:rPr>
          <w:rFonts w:ascii="Times New Roman" w:hAnsi="Times New Roman"/>
          <w:b w:val="0"/>
          <w:bCs w:val="0"/>
          <w:color w:val="000000"/>
          <w:sz w:val="18"/>
          <w:szCs w:val="18"/>
          <w:lang w:bidi="ar"/>
        </w:rPr>
      </w:pPr>
    </w:p>
    <w:p>
      <w:pPr>
        <w:rPr>
          <w:rFonts w:eastAsia="仿宋_GB2312"/>
          <w:color w:val="000000"/>
          <w:kern w:val="0"/>
          <w:sz w:val="18"/>
          <w:szCs w:val="18"/>
          <w:lang w:bidi="ar"/>
        </w:rPr>
      </w:pPr>
    </w:p>
    <w:p>
      <w:pPr>
        <w:pStyle w:val="2"/>
        <w:ind w:firstLine="360"/>
        <w:rPr>
          <w:rFonts w:ascii="Times New Roman" w:hAnsi="Times New Roman"/>
          <w:b w:val="0"/>
          <w:bCs w:val="0"/>
          <w:color w:val="000000"/>
          <w:sz w:val="18"/>
          <w:szCs w:val="18"/>
          <w:lang w:bidi="ar"/>
        </w:rPr>
      </w:pPr>
    </w:p>
    <w:p>
      <w:pPr>
        <w:rPr>
          <w:rFonts w:eastAsia="仿宋_GB2312"/>
          <w:color w:val="000000"/>
          <w:kern w:val="0"/>
          <w:sz w:val="18"/>
          <w:szCs w:val="18"/>
          <w:lang w:bidi="ar"/>
        </w:rPr>
      </w:pPr>
    </w:p>
    <w:p>
      <w:pPr>
        <w:pStyle w:val="2"/>
        <w:ind w:firstLine="360"/>
        <w:rPr>
          <w:rFonts w:ascii="Times New Roman" w:hAnsi="Times New Roman"/>
          <w:b w:val="0"/>
          <w:bCs w:val="0"/>
          <w:color w:val="000000"/>
          <w:sz w:val="18"/>
          <w:szCs w:val="18"/>
          <w:lang w:bidi="ar"/>
        </w:rPr>
      </w:pPr>
    </w:p>
    <w:p>
      <w:pPr>
        <w:rPr>
          <w:rFonts w:eastAsia="仿宋_GB2312"/>
          <w:color w:val="000000"/>
          <w:kern w:val="0"/>
          <w:sz w:val="18"/>
          <w:szCs w:val="18"/>
          <w:lang w:bidi="ar"/>
        </w:rPr>
      </w:pPr>
    </w:p>
    <w:p>
      <w:pPr>
        <w:pStyle w:val="2"/>
        <w:ind w:firstLine="360"/>
        <w:rPr>
          <w:rFonts w:ascii="Times New Roman" w:hAnsi="Times New Roman"/>
          <w:b w:val="0"/>
          <w:bCs w:val="0"/>
          <w:color w:val="000000"/>
          <w:sz w:val="18"/>
          <w:szCs w:val="18"/>
          <w:lang w:bidi="ar"/>
        </w:rPr>
      </w:pPr>
    </w:p>
    <w:p>
      <w:pPr>
        <w:rPr>
          <w:rFonts w:eastAsia="仿宋_GB2312"/>
          <w:color w:val="000000"/>
          <w:kern w:val="0"/>
          <w:sz w:val="18"/>
          <w:szCs w:val="18"/>
          <w:lang w:bidi="ar"/>
        </w:rPr>
      </w:pPr>
    </w:p>
    <w:p>
      <w:pPr>
        <w:pStyle w:val="2"/>
        <w:ind w:firstLine="0" w:firstLineChars="0"/>
        <w:rPr>
          <w:sz w:val="18"/>
          <w:szCs w:val="18"/>
        </w:rPr>
      </w:pPr>
    </w:p>
    <w:sectPr>
      <w:pgSz w:w="11850" w:h="16783"/>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altName w:val="宋体-方正超大字符集"/>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5250"/>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51</w:t>
    </w:r>
    <w:r>
      <w:rPr>
        <w:rFonts w:hint="eastAsia" w:ascii="仿宋_GB2312" w:eastAsia="仿宋_GB2312"/>
        <w:sz w:val="28"/>
        <w:szCs w:val="28"/>
      </w:rPr>
      <w:fldChar w:fldCharType="end"/>
    </w:r>
  </w:p>
  <w:p>
    <w:pPr>
      <w:pStyle w:val="9"/>
      <w:ind w:firstLine="560"/>
      <w:jc w:val="right"/>
      <w:rPr>
        <w:rFonts w:ascii="仿宋_GB2312" w:eastAsia="仿宋_GB2312"/>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5250"/>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48 -</w:t>
    </w:r>
    <w:r>
      <w:rPr>
        <w:rFonts w:hint="eastAsia" w:ascii="仿宋_GB2312" w:eastAsia="仿宋_GB2312"/>
        <w:sz w:val="28"/>
        <w:szCs w:val="28"/>
      </w:rPr>
      <w:fldChar w:fldCharType="end"/>
    </w:r>
  </w:p>
  <w:p>
    <w:pPr>
      <w:pStyle w:val="9"/>
      <w:rPr>
        <w:rFonts w:ascii="仿宋_GB2312" w:eastAsia="仿宋_GB2312"/>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560"/>
      <w:jc w:val="right"/>
      <w:rPr>
        <w:rFonts w:ascii="仿宋_GB2312" w:eastAsia="仿宋_GB2312"/>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5250"/>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36</w:t>
    </w:r>
    <w:r>
      <w:rPr>
        <w:rFonts w:hint="eastAsia" w:ascii="仿宋_GB2312" w:eastAsia="仿宋_GB2312"/>
        <w:sz w:val="28"/>
        <w:szCs w:val="28"/>
      </w:rPr>
      <w:fldChar w:fldCharType="end"/>
    </w:r>
  </w:p>
  <w:p>
    <w:pPr>
      <w:pStyle w:val="9"/>
      <w:ind w:firstLine="560"/>
      <w:jc w:val="right"/>
      <w:rPr>
        <w:rFonts w:ascii="仿宋_GB2312" w:eastAsia="仿宋_GB2312"/>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6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F1EDFC"/>
    <w:multiLevelType w:val="singleLevel"/>
    <w:tmpl w:val="C2F1EDFC"/>
    <w:lvl w:ilvl="0" w:tentative="0">
      <w:start w:val="1"/>
      <w:numFmt w:val="decimal"/>
      <w:lvlText w:val="%1."/>
      <w:lvlJc w:val="left"/>
      <w:pPr>
        <w:tabs>
          <w:tab w:val="left" w:pos="312"/>
        </w:tabs>
      </w:pPr>
    </w:lvl>
  </w:abstractNum>
  <w:abstractNum w:abstractNumId="1">
    <w:nsid w:val="086B2DD3"/>
    <w:multiLevelType w:val="singleLevel"/>
    <w:tmpl w:val="086B2DD3"/>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90C38"/>
    <w:rsid w:val="00067BBC"/>
    <w:rsid w:val="000747CC"/>
    <w:rsid w:val="000805B0"/>
    <w:rsid w:val="000A49FC"/>
    <w:rsid w:val="000B1C41"/>
    <w:rsid w:val="000F648B"/>
    <w:rsid w:val="00183AE1"/>
    <w:rsid w:val="0025661A"/>
    <w:rsid w:val="002B22FF"/>
    <w:rsid w:val="00331668"/>
    <w:rsid w:val="003B39E2"/>
    <w:rsid w:val="004106A3"/>
    <w:rsid w:val="004710D1"/>
    <w:rsid w:val="00484289"/>
    <w:rsid w:val="004C2853"/>
    <w:rsid w:val="004E2461"/>
    <w:rsid w:val="00507325"/>
    <w:rsid w:val="00547345"/>
    <w:rsid w:val="005508DC"/>
    <w:rsid w:val="00624349"/>
    <w:rsid w:val="00657305"/>
    <w:rsid w:val="007679CE"/>
    <w:rsid w:val="007E3AD8"/>
    <w:rsid w:val="00871E9D"/>
    <w:rsid w:val="0097416A"/>
    <w:rsid w:val="009C5FDD"/>
    <w:rsid w:val="009F3745"/>
    <w:rsid w:val="00A05A90"/>
    <w:rsid w:val="00A1365F"/>
    <w:rsid w:val="00B07A82"/>
    <w:rsid w:val="00B102BF"/>
    <w:rsid w:val="00B83622"/>
    <w:rsid w:val="00BA2AD1"/>
    <w:rsid w:val="00DA732E"/>
    <w:rsid w:val="00DC1D8E"/>
    <w:rsid w:val="00E816E2"/>
    <w:rsid w:val="00EA38B5"/>
    <w:rsid w:val="00EC1CE0"/>
    <w:rsid w:val="00F32495"/>
    <w:rsid w:val="00F912FE"/>
    <w:rsid w:val="00FA7E8D"/>
    <w:rsid w:val="00FF58AC"/>
    <w:rsid w:val="012E3826"/>
    <w:rsid w:val="01BF5504"/>
    <w:rsid w:val="02094321"/>
    <w:rsid w:val="02496920"/>
    <w:rsid w:val="02BC7C5B"/>
    <w:rsid w:val="0330189D"/>
    <w:rsid w:val="03697A82"/>
    <w:rsid w:val="03E62F7F"/>
    <w:rsid w:val="040A6DA0"/>
    <w:rsid w:val="040B338D"/>
    <w:rsid w:val="04ED4248"/>
    <w:rsid w:val="0612653A"/>
    <w:rsid w:val="065053CF"/>
    <w:rsid w:val="06DA7167"/>
    <w:rsid w:val="07C4398A"/>
    <w:rsid w:val="07E11E4D"/>
    <w:rsid w:val="07F536B9"/>
    <w:rsid w:val="09C738BA"/>
    <w:rsid w:val="09D6378C"/>
    <w:rsid w:val="0A9F6711"/>
    <w:rsid w:val="0B071CD7"/>
    <w:rsid w:val="0E510349"/>
    <w:rsid w:val="0EB37EB0"/>
    <w:rsid w:val="0F067FA9"/>
    <w:rsid w:val="0F2653A3"/>
    <w:rsid w:val="0F40649D"/>
    <w:rsid w:val="0FCC3C74"/>
    <w:rsid w:val="1028406D"/>
    <w:rsid w:val="10733078"/>
    <w:rsid w:val="11FA2E2C"/>
    <w:rsid w:val="123942C0"/>
    <w:rsid w:val="12581F17"/>
    <w:rsid w:val="13736083"/>
    <w:rsid w:val="13852AC9"/>
    <w:rsid w:val="13EA1E3B"/>
    <w:rsid w:val="14316493"/>
    <w:rsid w:val="15CE451D"/>
    <w:rsid w:val="161002F4"/>
    <w:rsid w:val="1628727F"/>
    <w:rsid w:val="1687008C"/>
    <w:rsid w:val="16AB6D10"/>
    <w:rsid w:val="16DB39A5"/>
    <w:rsid w:val="1715341F"/>
    <w:rsid w:val="179D0C6E"/>
    <w:rsid w:val="183C3383"/>
    <w:rsid w:val="18490825"/>
    <w:rsid w:val="184C4042"/>
    <w:rsid w:val="184C740D"/>
    <w:rsid w:val="18AC509C"/>
    <w:rsid w:val="18C2525C"/>
    <w:rsid w:val="18F21171"/>
    <w:rsid w:val="19D607CD"/>
    <w:rsid w:val="1A5A4A64"/>
    <w:rsid w:val="1AB5201E"/>
    <w:rsid w:val="1B877B4E"/>
    <w:rsid w:val="1C7A4E89"/>
    <w:rsid w:val="1CCB6B65"/>
    <w:rsid w:val="1D0E0E78"/>
    <w:rsid w:val="1D956288"/>
    <w:rsid w:val="1DAB5688"/>
    <w:rsid w:val="1DE40435"/>
    <w:rsid w:val="1E72617A"/>
    <w:rsid w:val="1EE60C4B"/>
    <w:rsid w:val="1EF73A06"/>
    <w:rsid w:val="1F2028FA"/>
    <w:rsid w:val="1F7B4758"/>
    <w:rsid w:val="20581CBE"/>
    <w:rsid w:val="213B62F6"/>
    <w:rsid w:val="215E0848"/>
    <w:rsid w:val="22813840"/>
    <w:rsid w:val="22F80F31"/>
    <w:rsid w:val="23215F41"/>
    <w:rsid w:val="23474982"/>
    <w:rsid w:val="25DD65EB"/>
    <w:rsid w:val="27076A68"/>
    <w:rsid w:val="27C95CFD"/>
    <w:rsid w:val="28A5698D"/>
    <w:rsid w:val="29EC6C59"/>
    <w:rsid w:val="2A3C1635"/>
    <w:rsid w:val="2A9E1B4F"/>
    <w:rsid w:val="2BC27645"/>
    <w:rsid w:val="2C3876F2"/>
    <w:rsid w:val="2C57104C"/>
    <w:rsid w:val="2CD2771D"/>
    <w:rsid w:val="2E243DAE"/>
    <w:rsid w:val="303E2456"/>
    <w:rsid w:val="307661B6"/>
    <w:rsid w:val="30973355"/>
    <w:rsid w:val="30E86933"/>
    <w:rsid w:val="320831D9"/>
    <w:rsid w:val="33BC0169"/>
    <w:rsid w:val="34477DA7"/>
    <w:rsid w:val="34672498"/>
    <w:rsid w:val="34BD7E00"/>
    <w:rsid w:val="34CD7C66"/>
    <w:rsid w:val="35403813"/>
    <w:rsid w:val="35970F9A"/>
    <w:rsid w:val="360F3305"/>
    <w:rsid w:val="36423224"/>
    <w:rsid w:val="364B11AE"/>
    <w:rsid w:val="37AE2685"/>
    <w:rsid w:val="37EF525D"/>
    <w:rsid w:val="37F25A4B"/>
    <w:rsid w:val="38247EA7"/>
    <w:rsid w:val="39B335EC"/>
    <w:rsid w:val="39E94283"/>
    <w:rsid w:val="39F851ED"/>
    <w:rsid w:val="3A394912"/>
    <w:rsid w:val="3B545CB9"/>
    <w:rsid w:val="3BE35A6C"/>
    <w:rsid w:val="3C9477A7"/>
    <w:rsid w:val="3CDC468B"/>
    <w:rsid w:val="3CE574B8"/>
    <w:rsid w:val="3D4F266F"/>
    <w:rsid w:val="3DDB4D04"/>
    <w:rsid w:val="3E8F0A87"/>
    <w:rsid w:val="3FCA2050"/>
    <w:rsid w:val="40574280"/>
    <w:rsid w:val="41B93843"/>
    <w:rsid w:val="435237A6"/>
    <w:rsid w:val="440C54A4"/>
    <w:rsid w:val="44B05E38"/>
    <w:rsid w:val="44B93352"/>
    <w:rsid w:val="45EE7D4F"/>
    <w:rsid w:val="463E0A59"/>
    <w:rsid w:val="47343AE0"/>
    <w:rsid w:val="474F2C08"/>
    <w:rsid w:val="475D1BAA"/>
    <w:rsid w:val="47B453C6"/>
    <w:rsid w:val="482B582E"/>
    <w:rsid w:val="488A62C3"/>
    <w:rsid w:val="48C874E3"/>
    <w:rsid w:val="48CC4F85"/>
    <w:rsid w:val="48E55ECE"/>
    <w:rsid w:val="48F16E24"/>
    <w:rsid w:val="49170B12"/>
    <w:rsid w:val="498145AB"/>
    <w:rsid w:val="4A3745D2"/>
    <w:rsid w:val="4BBB563F"/>
    <w:rsid w:val="4C041203"/>
    <w:rsid w:val="4C67261F"/>
    <w:rsid w:val="4C83448D"/>
    <w:rsid w:val="4D8760FC"/>
    <w:rsid w:val="4DAB0859"/>
    <w:rsid w:val="4DDE5314"/>
    <w:rsid w:val="4DE85492"/>
    <w:rsid w:val="4E601993"/>
    <w:rsid w:val="4E7D197D"/>
    <w:rsid w:val="4ED55A62"/>
    <w:rsid w:val="4F3E1119"/>
    <w:rsid w:val="4FCB053A"/>
    <w:rsid w:val="501F0812"/>
    <w:rsid w:val="50D97913"/>
    <w:rsid w:val="51347CC6"/>
    <w:rsid w:val="51C23A4A"/>
    <w:rsid w:val="521A12A1"/>
    <w:rsid w:val="52544325"/>
    <w:rsid w:val="52C04989"/>
    <w:rsid w:val="53152B1E"/>
    <w:rsid w:val="534221DA"/>
    <w:rsid w:val="538E26EC"/>
    <w:rsid w:val="53EA1179"/>
    <w:rsid w:val="54835799"/>
    <w:rsid w:val="54B5761B"/>
    <w:rsid w:val="54D50E16"/>
    <w:rsid w:val="552C32E9"/>
    <w:rsid w:val="55A01BC3"/>
    <w:rsid w:val="560C7BE1"/>
    <w:rsid w:val="560F0AF6"/>
    <w:rsid w:val="56310E69"/>
    <w:rsid w:val="567D2AF9"/>
    <w:rsid w:val="5683044F"/>
    <w:rsid w:val="56BE657F"/>
    <w:rsid w:val="571D01B2"/>
    <w:rsid w:val="574670F1"/>
    <w:rsid w:val="57B400D2"/>
    <w:rsid w:val="57C94C9D"/>
    <w:rsid w:val="57EA0233"/>
    <w:rsid w:val="58A46E0B"/>
    <w:rsid w:val="59200483"/>
    <w:rsid w:val="597C7095"/>
    <w:rsid w:val="59A42CEE"/>
    <w:rsid w:val="5A437AB1"/>
    <w:rsid w:val="5ABC603B"/>
    <w:rsid w:val="5B2B720F"/>
    <w:rsid w:val="5BC47439"/>
    <w:rsid w:val="5BD90C38"/>
    <w:rsid w:val="5C19408E"/>
    <w:rsid w:val="5C562008"/>
    <w:rsid w:val="5CFD5BFC"/>
    <w:rsid w:val="5E2221EA"/>
    <w:rsid w:val="5E8758B7"/>
    <w:rsid w:val="5F982B37"/>
    <w:rsid w:val="5FF5629E"/>
    <w:rsid w:val="60A42E32"/>
    <w:rsid w:val="60B825C1"/>
    <w:rsid w:val="61882177"/>
    <w:rsid w:val="61C71B51"/>
    <w:rsid w:val="61F033A7"/>
    <w:rsid w:val="62A76EBC"/>
    <w:rsid w:val="62EF74A7"/>
    <w:rsid w:val="63AA7257"/>
    <w:rsid w:val="66882288"/>
    <w:rsid w:val="66FD2D07"/>
    <w:rsid w:val="66FF16B7"/>
    <w:rsid w:val="670607F1"/>
    <w:rsid w:val="690F4845"/>
    <w:rsid w:val="69310784"/>
    <w:rsid w:val="697A5FCD"/>
    <w:rsid w:val="6A091531"/>
    <w:rsid w:val="6B4A582D"/>
    <w:rsid w:val="6D9C1B48"/>
    <w:rsid w:val="6DCC5B40"/>
    <w:rsid w:val="6DDC5452"/>
    <w:rsid w:val="6F30446F"/>
    <w:rsid w:val="6F7D4516"/>
    <w:rsid w:val="6FBF25EE"/>
    <w:rsid w:val="70296EDA"/>
    <w:rsid w:val="702F3856"/>
    <w:rsid w:val="7046341A"/>
    <w:rsid w:val="717F4114"/>
    <w:rsid w:val="71A30979"/>
    <w:rsid w:val="721E318F"/>
    <w:rsid w:val="725E454A"/>
    <w:rsid w:val="72A71D7F"/>
    <w:rsid w:val="735B405B"/>
    <w:rsid w:val="73934270"/>
    <w:rsid w:val="73C67EE0"/>
    <w:rsid w:val="741540BC"/>
    <w:rsid w:val="745B7A4F"/>
    <w:rsid w:val="75353687"/>
    <w:rsid w:val="763052D7"/>
    <w:rsid w:val="765C4504"/>
    <w:rsid w:val="781927D9"/>
    <w:rsid w:val="7843319E"/>
    <w:rsid w:val="78AF3462"/>
    <w:rsid w:val="78E161D1"/>
    <w:rsid w:val="78F56079"/>
    <w:rsid w:val="79143A22"/>
    <w:rsid w:val="79376158"/>
    <w:rsid w:val="79A22348"/>
    <w:rsid w:val="79DA051E"/>
    <w:rsid w:val="7A317E3F"/>
    <w:rsid w:val="7A482F15"/>
    <w:rsid w:val="7B974D23"/>
    <w:rsid w:val="7BA712B7"/>
    <w:rsid w:val="7C4D68DD"/>
    <w:rsid w:val="7D364ACE"/>
    <w:rsid w:val="7D407811"/>
    <w:rsid w:val="7E0E0109"/>
    <w:rsid w:val="7E310DAF"/>
    <w:rsid w:val="7E5971EF"/>
    <w:rsid w:val="7FE670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4">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paragraph" w:styleId="2">
    <w:name w:val="heading 3"/>
    <w:basedOn w:val="1"/>
    <w:next w:val="1"/>
    <w:link w:val="22"/>
    <w:qFormat/>
    <w:uiPriority w:val="9"/>
    <w:pPr>
      <w:keepNext/>
      <w:keepLines/>
      <w:widowControl/>
      <w:spacing w:line="360" w:lineRule="auto"/>
      <w:ind w:firstLine="200" w:firstLineChars="200"/>
      <w:contextualSpacing/>
      <w:jc w:val="left"/>
      <w:outlineLvl w:val="2"/>
    </w:pPr>
    <w:rPr>
      <w:rFonts w:ascii="Calibri" w:hAnsi="Calibri" w:eastAsia="仿宋_GB2312"/>
      <w:b/>
      <w:bCs/>
      <w:kern w:val="0"/>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toc 3"/>
    <w:basedOn w:val="1"/>
    <w:next w:val="1"/>
    <w:qFormat/>
    <w:uiPriority w:val="0"/>
    <w:pPr>
      <w:ind w:left="840" w:leftChars="400"/>
    </w:pPr>
  </w:style>
  <w:style w:type="paragraph" w:styleId="8">
    <w:name w:val="Balloon Text"/>
    <w:basedOn w:val="1"/>
    <w:link w:val="38"/>
    <w:qFormat/>
    <w:uiPriority w:val="0"/>
    <w:rPr>
      <w:sz w:val="18"/>
      <w:szCs w:val="18"/>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spacing w:before="120" w:after="120"/>
      <w:jc w:val="left"/>
    </w:pPr>
    <w:rPr>
      <w:rFonts w:ascii="Calibri" w:hAnsi="Calibri"/>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10"/>
    <w:pPr>
      <w:jc w:val="center"/>
      <w:outlineLvl w:val="0"/>
    </w:pPr>
    <w:rPr>
      <w:rFonts w:ascii="Cambria" w:hAnsi="Cambria" w:eastAsia="方正小标宋简体"/>
      <w:b/>
      <w:bCs/>
      <w:sz w:val="44"/>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正文排版"/>
    <w:basedOn w:val="1"/>
    <w:next w:val="1"/>
    <w:qFormat/>
    <w:uiPriority w:val="0"/>
  </w:style>
  <w:style w:type="character" w:customStyle="1" w:styleId="21">
    <w:name w:val="font31"/>
    <w:basedOn w:val="17"/>
    <w:qFormat/>
    <w:uiPriority w:val="0"/>
    <w:rPr>
      <w:rFonts w:ascii="Arial" w:hAnsi="Arial" w:cs="Arial"/>
      <w:color w:val="000000"/>
      <w:sz w:val="18"/>
      <w:szCs w:val="18"/>
      <w:u w:val="none"/>
    </w:rPr>
  </w:style>
  <w:style w:type="character" w:customStyle="1" w:styleId="22">
    <w:name w:val="标题 3 Char"/>
    <w:link w:val="2"/>
    <w:qFormat/>
    <w:uiPriority w:val="9"/>
    <w:rPr>
      <w:rFonts w:ascii="Calibri" w:hAnsi="Calibri" w:eastAsia="仿宋_GB2312"/>
      <w:b/>
      <w:bCs/>
      <w:kern w:val="0"/>
      <w:sz w:val="32"/>
      <w:szCs w:val="32"/>
    </w:rPr>
  </w:style>
  <w:style w:type="paragraph" w:customStyle="1" w:styleId="23">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character" w:customStyle="1" w:styleId="24">
    <w:name w:val="font151"/>
    <w:basedOn w:val="17"/>
    <w:qFormat/>
    <w:uiPriority w:val="0"/>
    <w:rPr>
      <w:rFonts w:hint="default" w:ascii="Times New Roman" w:hAnsi="Times New Roman" w:cs="Times New Roman"/>
      <w:color w:val="000000"/>
      <w:sz w:val="20"/>
      <w:szCs w:val="20"/>
      <w:u w:val="none"/>
    </w:rPr>
  </w:style>
  <w:style w:type="character" w:customStyle="1" w:styleId="25">
    <w:name w:val="font161"/>
    <w:basedOn w:val="17"/>
    <w:qFormat/>
    <w:uiPriority w:val="0"/>
    <w:rPr>
      <w:rFonts w:hint="eastAsia" w:ascii="宋体" w:hAnsi="宋体" w:eastAsia="宋体" w:cs="宋体"/>
      <w:color w:val="000000"/>
      <w:sz w:val="20"/>
      <w:szCs w:val="20"/>
      <w:u w:val="none"/>
    </w:rPr>
  </w:style>
  <w:style w:type="character" w:customStyle="1" w:styleId="26">
    <w:name w:val="font131"/>
    <w:basedOn w:val="17"/>
    <w:qFormat/>
    <w:uiPriority w:val="0"/>
    <w:rPr>
      <w:rFonts w:hint="default" w:ascii="仿宋_GB2312" w:eastAsia="仿宋_GB2312" w:cs="仿宋_GB2312"/>
      <w:color w:val="000000"/>
      <w:sz w:val="20"/>
      <w:szCs w:val="20"/>
      <w:u w:val="none"/>
    </w:rPr>
  </w:style>
  <w:style w:type="character" w:customStyle="1" w:styleId="27">
    <w:name w:val="font11"/>
    <w:basedOn w:val="17"/>
    <w:qFormat/>
    <w:uiPriority w:val="0"/>
    <w:rPr>
      <w:rFonts w:ascii="仿宋" w:hAnsi="仿宋" w:eastAsia="仿宋" w:cs="仿宋"/>
      <w:b/>
      <w:color w:val="000000"/>
      <w:sz w:val="24"/>
      <w:szCs w:val="24"/>
      <w:u w:val="none"/>
    </w:rPr>
  </w:style>
  <w:style w:type="character" w:customStyle="1" w:styleId="28">
    <w:name w:val="font41"/>
    <w:basedOn w:val="17"/>
    <w:qFormat/>
    <w:uiPriority w:val="0"/>
    <w:rPr>
      <w:rFonts w:hint="eastAsia" w:ascii="宋体" w:hAnsi="宋体" w:eastAsia="宋体" w:cs="宋体"/>
      <w:b/>
      <w:color w:val="000000"/>
      <w:sz w:val="24"/>
      <w:szCs w:val="24"/>
      <w:u w:val="none"/>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1">
    <w:name w:val="font01"/>
    <w:basedOn w:val="17"/>
    <w:qFormat/>
    <w:uiPriority w:val="0"/>
    <w:rPr>
      <w:rFonts w:ascii="Arial" w:hAnsi="Arial" w:cs="Arial"/>
      <w:color w:val="000000"/>
      <w:sz w:val="24"/>
      <w:szCs w:val="24"/>
      <w:u w:val="none"/>
    </w:rPr>
  </w:style>
  <w:style w:type="character" w:customStyle="1" w:styleId="32">
    <w:name w:val="font91"/>
    <w:basedOn w:val="17"/>
    <w:qFormat/>
    <w:uiPriority w:val="0"/>
    <w:rPr>
      <w:rFonts w:hint="eastAsia" w:ascii="宋体" w:hAnsi="宋体" w:eastAsia="宋体" w:cs="宋体"/>
      <w:color w:val="000000"/>
      <w:sz w:val="24"/>
      <w:szCs w:val="24"/>
      <w:u w:val="none"/>
    </w:rPr>
  </w:style>
  <w:style w:type="character" w:customStyle="1" w:styleId="33">
    <w:name w:val="font61"/>
    <w:basedOn w:val="17"/>
    <w:qFormat/>
    <w:uiPriority w:val="0"/>
    <w:rPr>
      <w:rFonts w:hint="eastAsia" w:ascii="宋体" w:hAnsi="宋体" w:eastAsia="宋体" w:cs="宋体"/>
      <w:color w:val="000000"/>
      <w:sz w:val="24"/>
      <w:szCs w:val="24"/>
      <w:u w:val="none"/>
    </w:rPr>
  </w:style>
  <w:style w:type="character" w:customStyle="1" w:styleId="34">
    <w:name w:val="font71"/>
    <w:basedOn w:val="17"/>
    <w:qFormat/>
    <w:uiPriority w:val="0"/>
    <w:rPr>
      <w:rFonts w:hint="default" w:ascii="仿宋_GB2312" w:eastAsia="仿宋_GB2312" w:cs="仿宋_GB2312"/>
      <w:color w:val="000000"/>
      <w:sz w:val="24"/>
      <w:szCs w:val="24"/>
      <w:u w:val="none"/>
    </w:rPr>
  </w:style>
  <w:style w:type="character" w:customStyle="1" w:styleId="35">
    <w:name w:val="font51"/>
    <w:basedOn w:val="17"/>
    <w:qFormat/>
    <w:uiPriority w:val="0"/>
    <w:rPr>
      <w:rFonts w:hint="default" w:ascii="仿宋_GB2312" w:eastAsia="仿宋_GB2312" w:cs="仿宋_GB2312"/>
      <w:color w:val="000000"/>
      <w:sz w:val="24"/>
      <w:szCs w:val="24"/>
      <w:u w:val="none"/>
    </w:rPr>
  </w:style>
  <w:style w:type="character" w:customStyle="1" w:styleId="36">
    <w:name w:val="font81"/>
    <w:basedOn w:val="17"/>
    <w:qFormat/>
    <w:uiPriority w:val="0"/>
    <w:rPr>
      <w:rFonts w:hint="eastAsia" w:ascii="宋体" w:hAnsi="宋体" w:eastAsia="宋体" w:cs="宋体"/>
      <w:color w:val="000000"/>
      <w:sz w:val="16"/>
      <w:szCs w:val="16"/>
      <w:u w:val="none"/>
    </w:rPr>
  </w:style>
  <w:style w:type="paragraph" w:customStyle="1" w:styleId="37">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38">
    <w:name w:val="批注框文本 Char"/>
    <w:basedOn w:val="17"/>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1</Pages>
  <Words>3351</Words>
  <Characters>19107</Characters>
  <Lines>159</Lines>
  <Paragraphs>44</Paragraphs>
  <TotalTime>33</TotalTime>
  <ScaleCrop>false</ScaleCrop>
  <LinksUpToDate>false</LinksUpToDate>
  <CharactersWithSpaces>22414</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2020-03-23T00:54:00Z</dcterms:created>
  <dc:creator>李文胜</dc:creator>
  <cp:lastModifiedBy>詹哲</cp:lastModifiedBy>
  <cp:lastPrinted>2020-04-13T08:21:00Z</cp:lastPrinted>
  <dcterms:modified xsi:type="dcterms:W3CDTF">2020-06-28T08:09:13Z</dcterms:modified>
  <dc:title>广东省自然资源厅年度部门整体支出</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