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uppressAutoHyphens/>
        <w:spacing w:before="0" w:beforeAutospacing="0" w:after="0" w:afterAutospacing="0"/>
        <w:ind w:left="0" w:right="0"/>
        <w:jc w:val="both"/>
        <w:rPr>
          <w:rFonts w:hint="default" w:ascii="Times New Roman" w:hAnsi="Times New Roman" w:eastAsia="黑体" w:cs="Times New Roman"/>
          <w:kern w:val="2"/>
          <w:sz w:val="32"/>
          <w:szCs w:val="32"/>
        </w:rPr>
      </w:pPr>
      <w:r>
        <w:rPr>
          <w:rFonts w:hint="eastAsia" w:ascii="黑体" w:hAnsi="宋体" w:eastAsia="黑体" w:cs="黑体"/>
          <w:kern w:val="0"/>
          <w:sz w:val="32"/>
          <w:szCs w:val="32"/>
          <w:lang w:val="en-US" w:eastAsia="zh-CN" w:bidi="ar"/>
        </w:rPr>
        <w:t>附件</w:t>
      </w:r>
      <w:r>
        <w:rPr>
          <w:rFonts w:hint="eastAsia" w:ascii="黑体" w:eastAsia="黑体" w:cs="黑体"/>
          <w:kern w:val="0"/>
          <w:sz w:val="32"/>
          <w:szCs w:val="32"/>
          <w:lang w:val="en-US" w:eastAsia="zh-CN" w:bidi="ar"/>
        </w:rPr>
        <w:t>7-1</w:t>
      </w:r>
    </w:p>
    <w:p>
      <w:pPr>
        <w:keepNext w:val="0"/>
        <w:keepLines w:val="0"/>
        <w:widowControl w:val="0"/>
        <w:suppressLineNumbers w:val="0"/>
        <w:suppressAutoHyphens/>
        <w:spacing w:before="0" w:beforeAutospacing="0" w:after="0" w:afterAutospacing="0"/>
        <w:ind w:left="0" w:right="0"/>
        <w:jc w:val="center"/>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 xml:space="preserve"> </w:t>
      </w:r>
    </w:p>
    <w:p>
      <w:pPr>
        <w:keepNext w:val="0"/>
        <w:keepLines w:val="0"/>
        <w:widowControl w:val="0"/>
        <w:suppressLineNumbers w:val="0"/>
        <w:suppressAutoHyphens/>
        <w:spacing w:before="0" w:beforeAutospacing="0" w:after="0" w:afterAutospacing="0"/>
        <w:ind w:left="0" w:right="0"/>
        <w:jc w:val="center"/>
        <w:rPr>
          <w:rFonts w:hint="default" w:ascii="Times New Roman" w:hAnsi="Times New Roman" w:eastAsia="黑体" w:cs="Times New Roman"/>
          <w:kern w:val="2"/>
          <w:sz w:val="32"/>
          <w:szCs w:val="32"/>
        </w:rPr>
      </w:pPr>
      <w:r>
        <w:rPr>
          <w:rFonts w:hint="default" w:ascii="Times New Roman" w:hAnsi="Times New Roman" w:eastAsia="仿宋_GB2312" w:cs="Times New Roman"/>
          <w:b/>
          <w:bCs/>
          <w:kern w:val="2"/>
          <w:sz w:val="32"/>
          <w:szCs w:val="32"/>
          <w:lang w:val="en-US" w:eastAsia="zh-CN" w:bidi="ar"/>
        </w:rPr>
        <w:t>2025</w:t>
      </w:r>
      <w:r>
        <w:rPr>
          <w:rFonts w:hint="eastAsia" w:ascii="仿宋_GB2312" w:hAnsi="Times New Roman" w:eastAsia="仿宋_GB2312" w:cs="仿宋_GB2312"/>
          <w:b/>
          <w:bCs/>
          <w:kern w:val="2"/>
          <w:sz w:val="32"/>
          <w:szCs w:val="32"/>
          <w:lang w:val="en-US" w:eastAsia="zh-CN" w:bidi="ar"/>
        </w:rPr>
        <w:t>年海洋资源管理与利用专项资金</w:t>
      </w:r>
      <w:r>
        <w:rPr>
          <w:rFonts w:hint="eastAsia" w:ascii="Times New Roman" w:hAnsi="Times New Roman" w:eastAsia="仿宋_GB2312" w:cs="Times New Roman"/>
          <w:b/>
          <w:bCs/>
          <w:kern w:val="2"/>
          <w:sz w:val="32"/>
          <w:szCs w:val="32"/>
          <w:lang w:val="en-US" w:eastAsia="zh-CN" w:bidi="ar"/>
        </w:rPr>
        <w:t>明细</w:t>
      </w:r>
      <w:r>
        <w:rPr>
          <w:rFonts w:hint="eastAsia" w:ascii="仿宋_GB2312" w:hAnsi="Times New Roman" w:eastAsia="仿宋_GB2312" w:cs="仿宋_GB2312"/>
          <w:b/>
          <w:bCs/>
          <w:kern w:val="2"/>
          <w:sz w:val="32"/>
          <w:szCs w:val="32"/>
          <w:lang w:val="en-US" w:eastAsia="zh-CN" w:bidi="ar"/>
        </w:rPr>
        <w:t>分配表</w:t>
      </w:r>
    </w:p>
    <w:tbl>
      <w:tblPr>
        <w:tblStyle w:val="4"/>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9"/>
        <w:gridCol w:w="1916"/>
        <w:gridCol w:w="1815"/>
        <w:gridCol w:w="6802"/>
        <w:gridCol w:w="2399"/>
        <w:gridCol w:w="1884"/>
        <w:gridCol w:w="345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序号</w:t>
            </w:r>
          </w:p>
        </w:tc>
        <w:tc>
          <w:tcPr>
            <w:tcW w:w="19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资金所属方面</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资金分配层级</w:t>
            </w: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项目名称</w:t>
            </w:r>
          </w:p>
        </w:tc>
        <w:tc>
          <w:tcPr>
            <w:tcW w:w="23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拟分配资金额度</w:t>
            </w:r>
            <w:r>
              <w:rPr>
                <w:rFonts w:hint="default" w:ascii="Times New Roman" w:hAnsi="Times New Roman" w:eastAsia="仿宋_GB2312" w:cs="Times New Roman"/>
                <w:b/>
                <w:bCs/>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（万元）</w:t>
            </w:r>
          </w:p>
        </w:tc>
        <w:tc>
          <w:tcPr>
            <w:tcW w:w="18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资金监管处室</w:t>
            </w: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资金使用单位</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拟分配资金总额</w:t>
            </w:r>
            <w:r>
              <w:rPr>
                <w:rFonts w:hint="default" w:ascii="Times New Roman" w:hAnsi="Times New Roman" w:eastAsia="仿宋_GB2312" w:cs="Times New Roman"/>
                <w:b/>
                <w:bCs/>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w:t>
            </w:r>
          </w:p>
        </w:tc>
        <w:tc>
          <w:tcPr>
            <w:tcW w:w="191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广东省近海海底基础数据调查</w:t>
            </w:r>
          </w:p>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方面</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（2603万元）</w:t>
            </w:r>
          </w:p>
        </w:tc>
        <w:tc>
          <w:tcPr>
            <w:tcW w:w="181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留省本级</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（2603万元）</w:t>
            </w:r>
          </w:p>
        </w:tc>
        <w:tc>
          <w:tcPr>
            <w:tcW w:w="68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广东省近海海域海岛地形地貌调查(2025年)</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1603</w:t>
            </w:r>
          </w:p>
        </w:tc>
        <w:tc>
          <w:tcPr>
            <w:tcW w:w="188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海域处</w:t>
            </w:r>
          </w:p>
        </w:tc>
        <w:tc>
          <w:tcPr>
            <w:tcW w:w="345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kern w:val="0"/>
                <w:sz w:val="24"/>
                <w:szCs w:val="24"/>
                <w:lang w:val="en-US" w:eastAsia="zh-CN" w:bidi="ar"/>
              </w:rPr>
              <w:t>广东省海洋发展规划研究中心</w:t>
            </w:r>
          </w:p>
        </w:tc>
        <w:tc>
          <w:tcPr>
            <w:tcW w:w="2129"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广东省近海海底管线核查（2025年）</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540</w:t>
            </w:r>
          </w:p>
        </w:tc>
        <w:tc>
          <w:tcPr>
            <w:tcW w:w="188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广东省近海海底沉积类型调查(2025年)</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460</w:t>
            </w:r>
          </w:p>
        </w:tc>
        <w:tc>
          <w:tcPr>
            <w:tcW w:w="188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w:t>
            </w:r>
          </w:p>
        </w:tc>
        <w:tc>
          <w:tcPr>
            <w:tcW w:w="1916"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海洋综合管理</w:t>
            </w:r>
          </w:p>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方面</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（12000万元）</w:t>
            </w:r>
          </w:p>
        </w:tc>
        <w:tc>
          <w:tcPr>
            <w:tcW w:w="181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留省本级</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（6800万元）</w:t>
            </w: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“十五五”海洋经济发展规划编制政策研究</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110</w:t>
            </w:r>
          </w:p>
        </w:tc>
        <w:tc>
          <w:tcPr>
            <w:tcW w:w="1884"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海经处</w:t>
            </w: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kern w:val="0"/>
                <w:sz w:val="24"/>
                <w:szCs w:val="24"/>
                <w:lang w:val="en-US" w:eastAsia="zh-CN" w:bidi="ar"/>
              </w:rPr>
              <w:t>广东省自然资源厅</w:t>
            </w:r>
          </w:p>
        </w:tc>
        <w:tc>
          <w:tcPr>
            <w:tcW w:w="21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5</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广东省沿海地市自然岸线保护指标审核技术服务项目</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140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kern w:val="0"/>
                <w:sz w:val="24"/>
                <w:szCs w:val="24"/>
                <w:lang w:val="en-US" w:eastAsia="zh-CN" w:bidi="ar"/>
              </w:rPr>
              <w:t>广东省土地调查规划院</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6</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广东省市级海岸带规划数据库审查技术服务项目</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260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7</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广东省项目用海与海岸线监管技术服务项目</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850</w:t>
            </w:r>
          </w:p>
        </w:tc>
        <w:tc>
          <w:tcPr>
            <w:tcW w:w="1884"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0"/>
                <w:szCs w:val="20"/>
              </w:rPr>
            </w:pPr>
            <w:r>
              <w:rPr>
                <w:rFonts w:hint="default" w:ascii="Times New Roman" w:hAnsi="Times New Roman" w:eastAsia="仿宋_GB2312" w:cs="Times New Roman"/>
                <w:kern w:val="2"/>
                <w:sz w:val="24"/>
                <w:szCs w:val="24"/>
                <w:lang w:val="en-US" w:eastAsia="zh-CN" w:bidi="ar"/>
              </w:rPr>
              <w:t>海域处</w:t>
            </w:r>
          </w:p>
        </w:tc>
        <w:tc>
          <w:tcPr>
            <w:tcW w:w="3458"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8</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省海洋档案资源建设与综合管理服务项目</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30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i w:val="0"/>
                <w:iCs w:val="0"/>
                <w:kern w:val="0"/>
                <w:sz w:val="24"/>
                <w:szCs w:val="24"/>
                <w:lang w:val="en-US" w:eastAsia="zh-CN" w:bidi="ar"/>
              </w:rPr>
              <w:t>广东省国土资源档案馆</w:t>
            </w:r>
          </w:p>
        </w:tc>
        <w:tc>
          <w:tcPr>
            <w:tcW w:w="21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9</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广东省海洋数据采集及分析能力提升2025</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595</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i w:val="0"/>
                <w:iCs w:val="0"/>
                <w:kern w:val="0"/>
                <w:sz w:val="24"/>
                <w:szCs w:val="24"/>
                <w:lang w:val="en-US" w:eastAsia="zh-CN" w:bidi="ar"/>
              </w:rPr>
              <w:t>广东省海洋发展规划研究中心</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广东省海域精细化管理（2025年）</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734</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11</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2025年广东省海岛精细化管理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591</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12</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海洋治理与发展政策研究</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570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13</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年度海洋经济运行监测与评估（2025）</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610</w:t>
            </w:r>
          </w:p>
        </w:tc>
        <w:tc>
          <w:tcPr>
            <w:tcW w:w="18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0"/>
                <w:szCs w:val="20"/>
              </w:rPr>
            </w:pPr>
            <w:r>
              <w:rPr>
                <w:rFonts w:hint="default" w:ascii="Times New Roman" w:hAnsi="Times New Roman" w:eastAsia="仿宋_GB2312" w:cs="Times New Roman"/>
                <w:i w:val="0"/>
                <w:iCs w:val="0"/>
                <w:color w:val="000000"/>
                <w:kern w:val="2"/>
                <w:sz w:val="24"/>
                <w:szCs w:val="24"/>
                <w:lang w:val="en-US" w:eastAsia="zh-CN" w:bidi="ar"/>
              </w:rPr>
              <w:t>海经处</w:t>
            </w:r>
          </w:p>
        </w:tc>
        <w:tc>
          <w:tcPr>
            <w:tcW w:w="3458"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14</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广东省海洋灾害综合防治体系建设项目（省地质环境监测总站）</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2"/>
                <w:sz w:val="24"/>
                <w:szCs w:val="24"/>
                <w:highlight w:val="yellow"/>
              </w:rPr>
            </w:pPr>
            <w:r>
              <w:rPr>
                <w:rFonts w:hint="default" w:ascii="Times New Roman" w:hAnsi="Times New Roman" w:eastAsia="仿宋_GB2312" w:cs="Times New Roman"/>
                <w:i w:val="0"/>
                <w:iCs w:val="0"/>
                <w:color w:val="000000"/>
                <w:kern w:val="2"/>
                <w:sz w:val="24"/>
                <w:szCs w:val="24"/>
                <w:lang w:val="en-US" w:eastAsia="zh-CN" w:bidi="ar"/>
              </w:rPr>
              <w:t>520</w:t>
            </w:r>
          </w:p>
        </w:tc>
        <w:tc>
          <w:tcPr>
            <w:tcW w:w="1884"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kern w:val="2"/>
                <w:sz w:val="24"/>
                <w:szCs w:val="24"/>
                <w:lang w:val="en-US" w:eastAsia="zh-CN" w:bidi="ar"/>
              </w:rPr>
              <w:t>地勘处</w:t>
            </w: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rPr>
            </w:pPr>
            <w:r>
              <w:rPr>
                <w:rFonts w:hint="default" w:ascii="Times New Roman" w:hAnsi="Times New Roman" w:eastAsia="仿宋_GB2312" w:cs="Times New Roman"/>
                <w:kern w:val="2"/>
                <w:sz w:val="24"/>
                <w:szCs w:val="24"/>
                <w:lang w:val="en-US" w:eastAsia="zh-CN" w:bidi="ar"/>
              </w:rPr>
              <w:t>广东省地质环境监测总站</w:t>
            </w:r>
          </w:p>
        </w:tc>
        <w:tc>
          <w:tcPr>
            <w:tcW w:w="21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rPr>
            </w:pPr>
            <w:r>
              <w:rPr>
                <w:rFonts w:hint="default" w:ascii="Times New Roman" w:hAnsi="Times New Roman" w:eastAsia="仿宋_GB2312" w:cs="Times New Roman"/>
                <w:kern w:val="2"/>
                <w:sz w:val="24"/>
                <w:szCs w:val="24"/>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15</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广东省海洋灾害综合防治体系建设（测绘院）</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2"/>
                <w:sz w:val="24"/>
                <w:szCs w:val="24"/>
                <w:highlight w:val="yellow"/>
              </w:rPr>
            </w:pPr>
            <w:r>
              <w:rPr>
                <w:rFonts w:hint="default" w:ascii="Times New Roman" w:hAnsi="Times New Roman" w:eastAsia="仿宋_GB2312" w:cs="Times New Roman"/>
                <w:i w:val="0"/>
                <w:iCs w:val="0"/>
                <w:color w:val="000000"/>
                <w:kern w:val="2"/>
                <w:sz w:val="24"/>
                <w:szCs w:val="24"/>
                <w:lang w:val="en-US" w:eastAsia="zh-CN" w:bidi="ar"/>
              </w:rPr>
              <w:t>1790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0"/>
                <w:szCs w:val="20"/>
              </w:rPr>
            </w:pPr>
            <w:r>
              <w:rPr>
                <w:rFonts w:hint="default" w:ascii="Times New Roman" w:hAnsi="Times New Roman" w:eastAsia="仿宋_GB2312" w:cs="Times New Roman"/>
                <w:i w:val="0"/>
                <w:iCs w:val="0"/>
                <w:kern w:val="0"/>
                <w:sz w:val="24"/>
                <w:szCs w:val="24"/>
                <w:lang w:val="en-US" w:eastAsia="zh-CN" w:bidi="ar"/>
              </w:rPr>
              <w:t>广东省国土资源测绘院</w:t>
            </w:r>
          </w:p>
        </w:tc>
        <w:tc>
          <w:tcPr>
            <w:tcW w:w="21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0"/>
              </w:rPr>
            </w:pPr>
            <w:r>
              <w:rPr>
                <w:rFonts w:hint="default" w:ascii="Times New Roman" w:hAnsi="Times New Roman" w:eastAsia="仿宋_GB2312" w:cs="Times New Roman"/>
                <w:i w:val="0"/>
                <w:iCs w:val="0"/>
                <w:color w:val="000000"/>
                <w:kern w:val="2"/>
                <w:sz w:val="24"/>
                <w:szCs w:val="24"/>
                <w:lang w:val="en-US" w:eastAsia="zh-CN" w:bidi="ar"/>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16</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对下转移支付</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（5200万元）</w:t>
            </w: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2025年汕头市海洋综合管理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500</w:t>
            </w:r>
          </w:p>
        </w:tc>
        <w:tc>
          <w:tcPr>
            <w:tcW w:w="1884" w:type="dxa"/>
            <w:vMerge w:val="restart"/>
            <w:tcBorders>
              <w:top w:val="nil"/>
              <w:left w:val="nil"/>
              <w:bottom w:val="nil"/>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海域处、海经处</w:t>
            </w: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汕头市自然资源局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17</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2025年南澳县海洋综合管理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60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南澳县自然资源局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18</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2025年汕尾市海洋综合管理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450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汕尾市自然资源局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19</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2025年陆丰市海洋综合管理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155</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陆丰市自然资源局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2025年海丰县海洋综合管理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海丰县自然资源局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21</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2025年江门市海洋综合管理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540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江门市自然资源局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22</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2025年台山市海洋综合管理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280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台山市自然资源局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23</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2025年恩平市海洋综合管理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恩平市自然资源局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24</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2025年阳江市海洋综合管理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675</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阳江市自然资源局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25</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2025年阳西县海洋综合管理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100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阳西县海洋发展局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26</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2025年湛江市海洋综合管理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965</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湛江市海洋与渔业局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27</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2025年吴川市海洋综合管理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30</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吴川市自然资源局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28</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2025年廉江市海洋综合管理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45</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廉江市自然资源局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29</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2025年雷州市海洋综合管理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95</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雷州市自然资源局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30</w:t>
            </w:r>
          </w:p>
        </w:tc>
        <w:tc>
          <w:tcPr>
            <w:tcW w:w="1916"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2025年遂溪县海洋综合管理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45</w:t>
            </w:r>
          </w:p>
        </w:tc>
        <w:tc>
          <w:tcPr>
            <w:tcW w:w="1884" w:type="dxa"/>
            <w:vMerge w:val="continue"/>
            <w:tcBorders>
              <w:top w:val="nil"/>
              <w:left w:val="nil"/>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遂溪县自然资源局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31</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2025年徐闻县海洋综合管理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130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徐闻县自然资源局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32</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2025年茂名市海洋综合管理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490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茂名市自然资源局</w:t>
            </w:r>
          </w:p>
        </w:tc>
        <w:tc>
          <w:tcPr>
            <w:tcW w:w="21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33</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2025年潮州市海洋综合管理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120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潮州市自然资源局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34</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2025年饶平县海洋综合管理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130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饶平县自然资源局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35</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2025年揭阳市海洋综合管理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130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揭阳市自然资源局</w:t>
            </w:r>
          </w:p>
        </w:tc>
        <w:tc>
          <w:tcPr>
            <w:tcW w:w="2129"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36</w:t>
            </w:r>
          </w:p>
        </w:tc>
        <w:tc>
          <w:tcPr>
            <w:tcW w:w="1916"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81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2025年惠来县海洋综合管理</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2"/>
                <w:sz w:val="24"/>
                <w:szCs w:val="24"/>
                <w:lang w:val="en-US" w:eastAsia="zh-CN" w:bidi="ar"/>
              </w:rPr>
              <w:t>170</w:t>
            </w:r>
          </w:p>
        </w:tc>
        <w:tc>
          <w:tcPr>
            <w:tcW w:w="188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34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惠来县自然资源局</w:t>
            </w:r>
          </w:p>
        </w:tc>
        <w:tc>
          <w:tcPr>
            <w:tcW w:w="2129"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8"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37</w:t>
            </w:r>
          </w:p>
        </w:tc>
        <w:tc>
          <w:tcPr>
            <w:tcW w:w="19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海砂开采挂牌出让前期工作方面</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（2400万元）</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对下转移支付</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（2400万元）</w:t>
            </w:r>
          </w:p>
        </w:tc>
        <w:tc>
          <w:tcPr>
            <w:tcW w:w="68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2025年阳江市海砂开采挂牌出让前期工作</w:t>
            </w:r>
          </w:p>
        </w:tc>
        <w:tc>
          <w:tcPr>
            <w:tcW w:w="23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2400</w:t>
            </w:r>
          </w:p>
        </w:tc>
        <w:tc>
          <w:tcPr>
            <w:tcW w:w="18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海域处</w:t>
            </w:r>
          </w:p>
        </w:tc>
        <w:tc>
          <w:tcPr>
            <w:tcW w:w="34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阳江市自然资源局</w:t>
            </w:r>
          </w:p>
        </w:tc>
        <w:tc>
          <w:tcPr>
            <w:tcW w:w="212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uppressAutoHyphens/>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2400</w:t>
            </w:r>
          </w:p>
        </w:tc>
      </w:tr>
    </w:tbl>
    <w:p>
      <w:pPr>
        <w:rPr>
          <w:rFonts w:hint="default" w:ascii="Times New Roman" w:hAnsi="Times New Roman" w:eastAsia="黑体" w:cs="Times New Roman"/>
          <w:kern w:val="2"/>
          <w:sz w:val="32"/>
          <w:szCs w:val="32"/>
        </w:rPr>
        <w:sectPr>
          <w:pgSz w:w="23811" w:h="16837" w:orient="landscape"/>
          <w:pgMar w:top="1800" w:right="1440" w:bottom="1800" w:left="1440" w:header="720" w:footer="720" w:gutter="0"/>
          <w:cols w:space="425" w:num="1"/>
          <w:docGrid w:type="lines" w:linePitch="312" w:charSpace="0"/>
        </w:sectPr>
      </w:pPr>
    </w:p>
    <w:p>
      <w:pPr>
        <w:keepNext w:val="0"/>
        <w:keepLines w:val="0"/>
        <w:widowControl w:val="0"/>
        <w:suppressLineNumbers w:val="0"/>
        <w:suppressAutoHyphens/>
        <w:spacing w:before="0" w:beforeAutospacing="0" w:after="0" w:afterAutospacing="0"/>
        <w:ind w:left="0" w:right="0"/>
        <w:jc w:val="both"/>
        <w:rPr>
          <w:rFonts w:hint="default" w:ascii="Times New Roman" w:hAnsi="Times New Roman" w:eastAsia="黑体" w:cs="Times New Roman"/>
          <w:kern w:val="2"/>
          <w:sz w:val="32"/>
          <w:szCs w:val="32"/>
          <w:lang w:val="en-US"/>
        </w:rPr>
      </w:pPr>
      <w:r>
        <w:rPr>
          <w:rFonts w:hint="eastAsia" w:ascii="黑体" w:hAnsi="宋体" w:eastAsia="黑体" w:cs="黑体"/>
          <w:kern w:val="2"/>
          <w:sz w:val="32"/>
          <w:szCs w:val="32"/>
          <w:lang w:val="en-US" w:eastAsia="zh-CN" w:bidi="ar"/>
        </w:rPr>
        <w:t>附件</w:t>
      </w:r>
      <w:r>
        <w:rPr>
          <w:rFonts w:hint="eastAsia" w:ascii="黑体" w:eastAsia="黑体" w:cs="黑体"/>
          <w:kern w:val="0"/>
          <w:sz w:val="32"/>
          <w:szCs w:val="32"/>
          <w:lang w:val="en-US" w:eastAsia="zh-CN" w:bidi="ar"/>
        </w:rPr>
        <w:t>7-2</w:t>
      </w:r>
    </w:p>
    <w:p>
      <w:pPr>
        <w:pStyle w:val="2"/>
        <w:keepNext/>
        <w:keepLines/>
        <w:widowControl w:val="0"/>
        <w:suppressLineNumbers w:val="0"/>
        <w:autoSpaceDE w:val="0"/>
        <w:autoSpaceDN/>
        <w:spacing w:before="0" w:beforeAutospacing="0" w:after="0" w:afterAutospacing="0" w:line="560" w:lineRule="exact"/>
        <w:jc w:val="center"/>
        <w:rPr>
          <w:rFonts w:hint="default" w:ascii="Times New Roman" w:hAnsi="Times New Roman" w:eastAsia="仿宋_GB2312" w:cs="Times New Roman"/>
          <w:b/>
          <w:bCs/>
          <w:i w:val="0"/>
          <w:color w:val="000000"/>
          <w:kern w:val="0"/>
          <w:sz w:val="32"/>
          <w:szCs w:val="32"/>
        </w:rPr>
      </w:pPr>
      <w:r>
        <w:rPr>
          <w:rFonts w:hint="default" w:ascii="Times New Roman" w:hAnsi="Times New Roman" w:eastAsia="仿宋_GB2312" w:cs="Times New Roman"/>
          <w:b/>
          <w:bCs/>
          <w:i w:val="0"/>
          <w:color w:val="000000"/>
          <w:kern w:val="0"/>
          <w:sz w:val="32"/>
          <w:szCs w:val="32"/>
        </w:rPr>
        <w:t>2025</w:t>
      </w:r>
      <w:r>
        <w:rPr>
          <w:rFonts w:hint="eastAsia" w:ascii="仿宋_GB2312" w:hAnsi="Times New Roman" w:eastAsia="仿宋_GB2312" w:cs="仿宋_GB2312"/>
          <w:b/>
          <w:bCs/>
          <w:i w:val="0"/>
          <w:color w:val="000000"/>
          <w:kern w:val="0"/>
          <w:sz w:val="32"/>
          <w:szCs w:val="32"/>
        </w:rPr>
        <w:t>年海洋资源管理与利用专项资金绩效目标表</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816"/>
        <w:gridCol w:w="2131"/>
        <w:gridCol w:w="122"/>
        <w:gridCol w:w="3505"/>
        <w:gridCol w:w="266"/>
        <w:gridCol w:w="1992"/>
        <w:gridCol w:w="799"/>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项目名称</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海洋资源管理与利用专项资金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项目类型</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专项资金项目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项目等级</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省级主管</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部门</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省自然资源厅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实施周期</w:t>
            </w:r>
          </w:p>
        </w:tc>
        <w:tc>
          <w:tcPr>
            <w:tcW w:w="79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起始年度</w:t>
            </w:r>
          </w:p>
        </w:tc>
        <w:tc>
          <w:tcPr>
            <w:tcW w:w="12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2025年</w:t>
            </w:r>
          </w:p>
        </w:tc>
        <w:tc>
          <w:tcPr>
            <w:tcW w:w="79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到期年度</w:t>
            </w:r>
          </w:p>
        </w:tc>
        <w:tc>
          <w:tcPr>
            <w:tcW w:w="12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2026年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2025年预算金额</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17003万元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设立依据</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1.2023年4月，习近平总书记在广东视察时强调要加强陆海统筹、山海互济，强化港产城整体布局，加强海洋生态保护，全面建设海洋强省。2022年4月，习近平总书记在海南考察时强调“建设海洋强国是实现中华民族伟大复兴的重大战略任务”。2019年10月15日，习近平总书记在致2019中国海洋经济博览会贺信中指出，要加快海洋科技创新步伐，提高海洋资源开发能力，培育壮大海洋战略性新兴产业。</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2.中共中央、国务院印发《粤港澳大湾区发展规划纲要》《关于支持深圳建设中国特色社会主义先行示范区的意见》《全面深化前海深港现代服务业合作区改革开放方案》《横琴粤澳深度合作区建设总体方案》《广州南沙深化面向世界的粤港澳全面合作总体方案》，均对广东海洋工作作出重要部署，要求强化海洋观测、监测、预报和防灾减灾能力，提升海洋资源开发利用水平，构建现代海洋产业体系。</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3.广东省委、省政府高度重视海洋工作，作出“1310”具体部署，提出要全面推进海洋强省建设，在打造海上新广东上取得新突破，构建科学高效的海洋经济发展格局，做大做强做优海洋牧场、海上能源、临港工业、海洋旅游等现代海洋产业，强化涉海基础设施、海洋科技、海洋生态等支撑保障，为广东改革发展注入源源不断的“蓝色动力”。出台《关于发挥高质量发展战略要地作用 全面建设海洋强省的意见》《全面推进自然资源高水平保护高效率利用的意见》《广东省智慧自然资源总体设计方案》等多项政策文件，印发《广东省海洋经济发展“十四五”规划》《广东省自然资源保护与开发“十四五”规划》等多项规划，提出全面提升海洋资源保护水平和利用效率，加快“智慧海洋”建设，提升海洋观测、监测、预报能力，提高海洋防灾减灾水平，加大海洋保护和管控力度，合理利用海洋资源。</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i w:val="0"/>
                <w:iCs w:val="0"/>
                <w:color w:val="000000"/>
                <w:kern w:val="0"/>
                <w:sz w:val="24"/>
                <w:szCs w:val="24"/>
                <w:lang w:val="en-US" w:eastAsia="zh-CN" w:bidi="ar"/>
              </w:rPr>
              <w:t>4.省领导在省自然资源厅《关于我省海砂开采有关情况的报告》（建设0413）上的批示。《自然资源部关于实施海砂采矿权和海域使用权“两权合一”招拍挂出让的通知》（自然资规〔2019〕5号）等。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项目概述</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广东省近海海底基础数据调查方面：</w:t>
            </w:r>
            <w:r>
              <w:rPr>
                <w:rFonts w:hint="default" w:ascii="Times New Roman" w:hAnsi="Times New Roman" w:eastAsia="仿宋_GB2312" w:cs="Times New Roman"/>
                <w:i w:val="0"/>
                <w:iCs w:val="0"/>
                <w:color w:val="000000"/>
                <w:kern w:val="0"/>
                <w:sz w:val="24"/>
                <w:szCs w:val="24"/>
                <w:lang w:val="en-US" w:eastAsia="zh-CN" w:bidi="ar"/>
              </w:rPr>
              <w:t>立足自然资源“两统一”核心职责，以自然资源“陆海统筹”管理为导向，补齐海底地形地貌数据短板，完善全域多要素自然资源数据底图，研制防灾减灾等海洋数据产品，加快实现自然资源管理数字化、智能化转型，提升海洋管理和治理能力，服务粤港澳大湾区建设和“海洋强省”建设，助力我省海洋经济高质量发展，实现全省自然资源管理全方位、全过程、高水平、高站位走在全国前列。本专项主要调查研究内容有三项，一是粤东粤西海域和无居民海岛以及大湾区外广东领海海域的精细化地形地貌调查；二是广东省近海海底管线核查；三是广东省近海海底沉积物类型调查。</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海洋综合管理方面：</w:t>
            </w:r>
            <w:r>
              <w:rPr>
                <w:rFonts w:hint="default" w:ascii="Times New Roman" w:hAnsi="Times New Roman" w:eastAsia="仿宋_GB2312" w:cs="Times New Roman"/>
                <w:i w:val="0"/>
                <w:iCs w:val="0"/>
                <w:color w:val="000000"/>
                <w:kern w:val="0"/>
                <w:sz w:val="24"/>
                <w:szCs w:val="24"/>
                <w:lang w:val="en-US" w:eastAsia="zh-CN" w:bidi="ar"/>
              </w:rPr>
              <w:t>按照党中央、国务院与省委、省政府工作部署与工作要求，通过重点开展海域使用和海岛保护利用管理、海岸线巡查监管、海洋经济调查分析与统计核算、海洋数据采集与分析、海洋档案数字化建设、海洋治理和发展政策研究、海洋灾害防治体系建设等工作任务，进一步提升我省海洋综合治理能力与水平，补足海洋治理能力的短板，全力支撑海洋经济高质量发展。</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海砂开采挂牌出让前期工作方面：</w:t>
            </w:r>
            <w:r>
              <w:rPr>
                <w:rFonts w:hint="default" w:ascii="Times New Roman" w:hAnsi="Times New Roman" w:eastAsia="仿宋_GB2312" w:cs="Times New Roman"/>
                <w:i w:val="0"/>
                <w:iCs w:val="0"/>
                <w:color w:val="000000"/>
                <w:kern w:val="0"/>
                <w:sz w:val="24"/>
                <w:szCs w:val="24"/>
                <w:lang w:val="en-US" w:eastAsia="zh-CN" w:bidi="ar"/>
              </w:rPr>
              <w:t>用于拟出让区海砂资源储量核实、拟出让区海砂资源开发利用方案编制、拟出让区海砂开采海域使用论证、拟出让区海洋环境影响评价、海上交通安全影响评价、拟出让区海砂开采海域使用权价值评估、拟出让区海砂采矿权出让收益评估及组织市场化出让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909" w:type="pct"/>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总体绩效</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目标</w:t>
            </w: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实施周期总目标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09" w:type="pct"/>
            <w:gridSpan w:val="2"/>
            <w:vMerge w:val="continue"/>
            <w:tcBorders>
              <w:top w:val="nil"/>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广东省近海海底基础数据调查方面：</w:t>
            </w:r>
            <w:r>
              <w:rPr>
                <w:rFonts w:hint="default" w:ascii="Times New Roman" w:hAnsi="Times New Roman" w:eastAsia="仿宋_GB2312" w:cs="Times New Roman"/>
                <w:i w:val="0"/>
                <w:iCs w:val="0"/>
                <w:color w:val="000000"/>
                <w:kern w:val="0"/>
                <w:sz w:val="24"/>
                <w:szCs w:val="24"/>
                <w:lang w:val="en-US" w:eastAsia="zh-CN" w:bidi="ar"/>
              </w:rPr>
              <w:t>通过调查研究获取广东省近海海底基础数据，包括粤港澳大湾区、粤东、粤西部分海岸带、海岛、内水及领海范围内的精细化地形地貌调查；开展广东省近海海底管线核查，获取海底管线的实际位置、分布、埋深等准确信息，完善海底管线数据库建设；在粤港澳大湾区、粤东、粤西部分重要河口及近海海域开展底质类型调查工作，获取区域内的海底沉积物类型、分布特征、沉积环境等特征，更新完善海洋环境基础数据，支撑广东省的海洋生态修复和保护。</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海洋综合管理方面：</w:t>
            </w:r>
            <w:r>
              <w:rPr>
                <w:rFonts w:hint="default" w:ascii="Times New Roman" w:hAnsi="Times New Roman" w:eastAsia="仿宋_GB2312" w:cs="Times New Roman"/>
                <w:i w:val="0"/>
                <w:iCs w:val="0"/>
                <w:color w:val="000000"/>
                <w:kern w:val="0"/>
                <w:sz w:val="24"/>
                <w:szCs w:val="24"/>
                <w:lang w:val="en-US" w:eastAsia="zh-CN" w:bidi="ar"/>
              </w:rPr>
              <w:t>进一步提高全省海域和海岛的监管能力与水平，健全海洋资源产权体系，完善海域海岛法律制度与政策规定，为依法用海、科学用海提供支持和保障。进一步提升海洋经济运行监测与评估能力，健全海洋经济调查指标体系，完成省、市两级海洋生产总值核算工作，为海洋经济管理提供支撑。通过对多源涉海专项数据和动态监测数据的持续采集、处理、分析应用和成果提升，提升海洋数据要素供给。开展海洋管理政策研究并形成系列专题研究成果，提升海洋强省建设政策管理支撑能力。显著增强海洋预警监测和灾害综合防治能力，进一步提升对海洋资源保护与开发、国土空间规划、海洋综合管理、海洋防灾减灾等工作的支撑能力。</w:t>
            </w:r>
          </w:p>
          <w:p>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海砂开采挂牌出让前期工作方面：</w:t>
            </w:r>
            <w:r>
              <w:rPr>
                <w:rFonts w:hint="default" w:ascii="Times New Roman" w:hAnsi="Times New Roman" w:eastAsia="仿宋_GB2312" w:cs="Times New Roman"/>
                <w:i w:val="0"/>
                <w:iCs w:val="0"/>
                <w:color w:val="000000"/>
                <w:kern w:val="0"/>
                <w:sz w:val="24"/>
                <w:szCs w:val="24"/>
                <w:lang w:val="en-US" w:eastAsia="zh-CN" w:bidi="ar"/>
              </w:rPr>
              <w:t>完成3片海砂出让开采项目的前期工作，加强市场海砂供给。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09" w:type="pct"/>
            <w:gridSpan w:val="2"/>
            <w:vMerge w:val="continue"/>
            <w:tcBorders>
              <w:top w:val="nil"/>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2025年度目标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3" w:hRule="atLeast"/>
        </w:trPr>
        <w:tc>
          <w:tcPr>
            <w:tcW w:w="909" w:type="pct"/>
            <w:gridSpan w:val="2"/>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409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广东省近海海底基础数据调查方面：</w:t>
            </w:r>
            <w:r>
              <w:rPr>
                <w:rFonts w:hint="default" w:ascii="Times New Roman" w:hAnsi="Times New Roman" w:eastAsia="仿宋_GB2312" w:cs="Times New Roman"/>
                <w:i w:val="0"/>
                <w:iCs w:val="0"/>
                <w:color w:val="000000"/>
                <w:kern w:val="0"/>
                <w:sz w:val="24"/>
                <w:szCs w:val="24"/>
                <w:lang w:val="en-US" w:eastAsia="zh-CN" w:bidi="ar"/>
              </w:rPr>
              <w:t>开展我省部分重点海域加密调查及2022-2024年调查数据拼接、成果提升，调查面积约2000km</w:t>
            </w:r>
            <w:r>
              <w:rPr>
                <w:rFonts w:hint="default" w:ascii="Times New Roman" w:hAnsi="Times New Roman" w:eastAsia="仿宋_GB2312" w:cs="Times New Roman"/>
                <w:i w:val="0"/>
                <w:iCs w:val="0"/>
                <w:color w:val="000000"/>
                <w:kern w:val="0"/>
                <w:sz w:val="24"/>
                <w:szCs w:val="24"/>
                <w:vertAlign w:val="superscript"/>
                <w:lang w:val="en-US" w:eastAsia="zh-CN" w:bidi="ar"/>
              </w:rPr>
              <w:t>2</w:t>
            </w:r>
            <w:r>
              <w:rPr>
                <w:rFonts w:hint="default" w:ascii="Times New Roman" w:hAnsi="Times New Roman" w:eastAsia="仿宋_GB2312" w:cs="Times New Roman"/>
                <w:i w:val="0"/>
                <w:iCs w:val="0"/>
                <w:color w:val="000000"/>
                <w:kern w:val="0"/>
                <w:sz w:val="24"/>
                <w:szCs w:val="24"/>
                <w:lang w:val="en-US" w:eastAsia="zh-CN" w:bidi="ar"/>
              </w:rPr>
              <w:t>；开展粤西近海海底管线核查，核查总长度约1100km；开展湛江、茂名部分海域海底沉积物数据调查，完成表层140站位表层沉积物采样，10站柱状样采集，140站悬浮体粒度调查，不少于800km浅地层剖面调查。</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海洋综合管理方面：</w:t>
            </w:r>
            <w:r>
              <w:rPr>
                <w:rFonts w:hint="default" w:ascii="Times New Roman" w:hAnsi="Times New Roman" w:eastAsia="仿宋_GB2312" w:cs="Times New Roman"/>
                <w:i w:val="0"/>
                <w:iCs w:val="0"/>
                <w:color w:val="000000"/>
                <w:kern w:val="0"/>
                <w:sz w:val="24"/>
                <w:szCs w:val="24"/>
                <w:lang w:val="en-US" w:eastAsia="zh-CN" w:bidi="ar"/>
              </w:rPr>
              <w:t>进一步提高全省海域和海岛的监管能力与水平，健全海洋资源产权体系，完善海域海岛法律制度与政策规定，为依法用海、科学用海提供支持和保障。进一步提升海洋经济运行监测与评估能力，健全海洋经济调查指标体系，完成省、市两级海洋生产总值核算工作，为海洋经济管理提供支撑。通过对多源涉海专项数据和动态监测数据的持续采集、处理、分析应用和成果提升，提升海洋数据要素供给。开展海洋管理政策研究并形成系列专题研究成果，提升海洋强省建设政策管理支撑能力。显著增强海洋预警监测和灾害综合防治能力，进一步提升对海洋资源保护与开发、国土空间规划、海洋综合管理、海洋防灾减灾等工作的支撑能力。</w:t>
            </w:r>
            <w:r>
              <w:rPr>
                <w:rFonts w:hint="default" w:ascii="Times New Roman" w:hAnsi="Times New Roman" w:eastAsia="仿宋_GB2312" w:cs="Times New Roman"/>
                <w:i w:val="0"/>
                <w:iCs w:val="0"/>
                <w:color w:val="000000"/>
                <w:kern w:val="0"/>
                <w:sz w:val="24"/>
                <w:szCs w:val="24"/>
                <w:lang w:val="en-US" w:eastAsia="zh-CN" w:bidi="ar"/>
              </w:rPr>
              <w:br w:type="textWrapping"/>
            </w:r>
            <w:r>
              <w:rPr>
                <w:rFonts w:hint="default" w:ascii="Times New Roman" w:hAnsi="Times New Roman" w:eastAsia="仿宋_GB2312" w:cs="Times New Roman"/>
                <w:b/>
                <w:bCs/>
                <w:i w:val="0"/>
                <w:iCs w:val="0"/>
                <w:color w:val="000000"/>
                <w:kern w:val="0"/>
                <w:sz w:val="24"/>
                <w:szCs w:val="24"/>
                <w:lang w:val="en-US" w:eastAsia="zh-CN" w:bidi="ar"/>
              </w:rPr>
              <w:t>海砂开采挂牌出让前期工作方面：</w:t>
            </w:r>
            <w:r>
              <w:rPr>
                <w:rFonts w:hint="default" w:ascii="Times New Roman" w:hAnsi="Times New Roman" w:eastAsia="仿宋_GB2312" w:cs="Times New Roman"/>
                <w:i w:val="0"/>
                <w:iCs w:val="0"/>
                <w:color w:val="000000"/>
                <w:kern w:val="0"/>
                <w:sz w:val="24"/>
                <w:szCs w:val="24"/>
                <w:lang w:val="en-US" w:eastAsia="zh-CN" w:bidi="ar"/>
              </w:rPr>
              <w:t>完成3片海砂出让开采项目的前期工作，加强市场海砂供给。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68" w:type="pct"/>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绩效指标</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一级指标</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二级指标</w:t>
            </w:r>
          </w:p>
        </w:tc>
        <w:tc>
          <w:tcPr>
            <w:tcW w:w="13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三级指标</w:t>
            </w:r>
          </w:p>
        </w:tc>
        <w:tc>
          <w:tcPr>
            <w:tcW w:w="9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实施周期</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指标值</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当年度</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成本指标</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经济成本指标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项目成本控制不超预算</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是</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b/>
                <w:bCs/>
                <w:i w:val="0"/>
                <w:iCs w:val="0"/>
                <w:color w:val="000000"/>
                <w:kern w:val="2"/>
                <w:sz w:val="24"/>
                <w:szCs w:val="24"/>
                <w:lang w:eastAsia="zh-CN"/>
              </w:rPr>
            </w:pPr>
            <w:r>
              <w:rPr>
                <w:rFonts w:hint="eastAsia" w:ascii="仿宋_GB2312" w:hAnsi="仿宋_GB2312" w:eastAsia="仿宋_GB2312" w:cs="仿宋_GB2312"/>
                <w:b/>
                <w:bCs/>
                <w:i w:val="0"/>
                <w:iCs w:val="0"/>
                <w:color w:val="000000"/>
                <w:kern w:val="2"/>
                <w:sz w:val="24"/>
                <w:szCs w:val="24"/>
                <w:lang w:eastAsia="zh-CN"/>
              </w:rPr>
              <w:t>产出指标</w:t>
            </w:r>
          </w:p>
        </w:tc>
        <w:tc>
          <w:tcPr>
            <w:tcW w:w="752" w:type="pct"/>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数量指标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调查海域范围面积</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≥2000平方</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公里</w:t>
            </w:r>
          </w:p>
        </w:tc>
        <w:tc>
          <w:tcPr>
            <w:tcW w:w="978"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≥2000平方</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color w:val="000000"/>
                <w:kern w:val="2"/>
                <w:sz w:val="24"/>
                <w:szCs w:val="24"/>
                <w:lang w:val="en-US" w:eastAsia="zh-CN" w:bidi="ar"/>
              </w:rPr>
              <w:t>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核查海底管线长度</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≥1100公里</w:t>
            </w:r>
          </w:p>
        </w:tc>
        <w:tc>
          <w:tcPr>
            <w:tcW w:w="978"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 xml:space="preserve">≥1100公里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柱状样站位数</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≥10站</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悬浮体调查站位数</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≥140站</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 xml:space="preserve">≥140站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表层沉积物采样站位数</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≥140站</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≥140站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巡查大陆及有居民海岛岸线长度（km）</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≥4000公里</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≥4000公里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完成“十五五”海洋经济发展规划编制</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1份</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新建/升级改造岸基海洋观测站</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≥10个</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省海洋灾害预警报信息公众服务</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1项</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自然岸线变化情况资料收集次数</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全年开展12次</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全年开展12次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制定市级海岸带规划数据库审查要点数量</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1项</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省批用海项目季度动态监测报告</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4份</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年度海洋项目档案管理培训</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1项</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完成专项成果数据汇集</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≥6项</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海域管理方面研究报告或应用报告</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≥4份</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完成海岛监管个数</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7个</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《粤海研究》</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4期</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季度海洋经济运行分析报告</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核查海砂储量</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≥2000万</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立方米</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0"/>
                <w:sz w:val="24"/>
                <w:szCs w:val="24"/>
              </w:rPr>
            </w:pPr>
            <w:r>
              <w:rPr>
                <w:rFonts w:hint="default" w:ascii="Times New Roman" w:hAnsi="Times New Roman" w:eastAsia="仿宋_GB2312" w:cs="Times New Roman"/>
                <w:i w:val="0"/>
                <w:iCs w:val="0"/>
                <w:color w:val="000000"/>
                <w:kern w:val="0"/>
                <w:sz w:val="24"/>
                <w:szCs w:val="24"/>
                <w:lang w:val="en-US" w:eastAsia="zh-CN" w:bidi="ar"/>
              </w:rPr>
              <w:t>≥2000万</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质量指标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数据质检通过率</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100%</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时效指标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项目计划按时完成率(%)</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≥90%</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效益指标</w:t>
            </w: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经济效益指标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助力海洋经济发展</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显著</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显著</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85"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78"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社会效益指标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提高科学开发利用海洋资源的能力</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不断提升</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85"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78"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生态效益指标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促进海洋生态环境持续改善</w:t>
            </w:r>
          </w:p>
        </w:tc>
        <w:tc>
          <w:tcPr>
            <w:tcW w:w="985" w:type="pct"/>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持续改善</w:t>
            </w:r>
          </w:p>
        </w:tc>
        <w:tc>
          <w:tcPr>
            <w:tcW w:w="97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85"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78"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85" w:type="pct"/>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78" w:type="pct"/>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满意度指标</w:t>
            </w: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0"/>
                <w:sz w:val="24"/>
                <w:szCs w:val="24"/>
              </w:rPr>
            </w:pPr>
            <w:r>
              <w:rPr>
                <w:rFonts w:hint="default" w:ascii="Times New Roman" w:hAnsi="Times New Roman" w:eastAsia="仿宋_GB2312" w:cs="Times New Roman"/>
                <w:b/>
                <w:bCs/>
                <w:i w:val="0"/>
                <w:iCs w:val="0"/>
                <w:color w:val="000000"/>
                <w:kern w:val="0"/>
                <w:sz w:val="24"/>
                <w:szCs w:val="24"/>
                <w:lang w:val="en-US" w:eastAsia="zh-CN" w:bidi="ar"/>
              </w:rPr>
              <w:t>服务对象满意度</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000000"/>
                <w:kern w:val="2"/>
                <w:sz w:val="24"/>
                <w:szCs w:val="24"/>
              </w:rPr>
            </w:pPr>
            <w:r>
              <w:rPr>
                <w:rFonts w:hint="default" w:ascii="Times New Roman" w:hAnsi="Times New Roman" w:eastAsia="仿宋_GB2312" w:cs="Times New Roman"/>
                <w:b/>
                <w:bCs/>
                <w:i w:val="0"/>
                <w:iCs w:val="0"/>
                <w:color w:val="000000"/>
                <w:kern w:val="0"/>
                <w:sz w:val="24"/>
                <w:szCs w:val="24"/>
                <w:lang w:val="en-US" w:eastAsia="zh-CN" w:bidi="ar"/>
              </w:rPr>
              <w:t>指标</w:t>
            </w:r>
          </w:p>
        </w:tc>
        <w:tc>
          <w:tcPr>
            <w:tcW w:w="137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服务对象满意度</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≥90%</w:t>
            </w:r>
          </w:p>
        </w:tc>
        <w:tc>
          <w:tcPr>
            <w:tcW w:w="9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kern w:val="2"/>
                <w:sz w:val="24"/>
                <w:szCs w:val="24"/>
              </w:rPr>
            </w:pPr>
            <w:r>
              <w:rPr>
                <w:rFonts w:hint="default" w:ascii="Times New Roman" w:hAnsi="Times New Roman" w:eastAsia="仿宋_GB2312" w:cs="Times New Roman"/>
                <w:i w:val="0"/>
                <w:iCs w:val="0"/>
                <w:color w:val="000000"/>
                <w:kern w:val="0"/>
                <w:sz w:val="24"/>
                <w:szCs w:val="2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37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8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9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r>
    </w:tbl>
    <w:p>
      <w:pPr>
        <w:keepNext w:val="0"/>
        <w:keepLines w:val="0"/>
        <w:widowControl w:val="0"/>
        <w:suppressLineNumbers w:val="0"/>
        <w:suppressAutoHyphens/>
        <w:spacing w:before="0" w:beforeAutospacing="0" w:after="0" w:afterAutospacing="0"/>
        <w:ind w:left="0" w:right="0"/>
        <w:jc w:val="both"/>
        <w:rPr>
          <w:rFonts w:hint="default" w:ascii="Times New Roman" w:hAnsi="Times New Roman" w:eastAsia="宋体" w:cs="Times New Roman"/>
          <w:kern w:val="2"/>
          <w:sz w:val="21"/>
          <w:szCs w:val="21"/>
        </w:rPr>
      </w:pPr>
    </w:p>
    <w:p>
      <w:pPr>
        <w:keepNext w:val="0"/>
        <w:keepLines w:val="0"/>
        <w:widowControl w:val="0"/>
        <w:suppressLineNumbers w:val="0"/>
        <w:suppressAutoHyphens/>
        <w:spacing w:before="0" w:beforeAutospacing="0" w:after="0" w:afterAutospacing="0"/>
        <w:ind w:left="0" w:right="0"/>
        <w:jc w:val="both"/>
      </w:pPr>
      <w:r>
        <w:rPr>
          <w:rFonts w:hint="default" w:ascii="Times New Roman" w:hAnsi="Times New Roman" w:eastAsia="宋体" w:cs="Times New Roman"/>
          <w:kern w:val="2"/>
          <w:sz w:val="21"/>
          <w:szCs w:val="21"/>
          <w:lang w:val="en-US" w:eastAsia="zh-CN" w:bidi="ar"/>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78E68"/>
    <w:rsid w:val="1FBBBFEF"/>
    <w:rsid w:val="29BF7D54"/>
    <w:rsid w:val="2AEF53DF"/>
    <w:rsid w:val="3FF29B54"/>
    <w:rsid w:val="4BFD634F"/>
    <w:rsid w:val="4F9A2524"/>
    <w:rsid w:val="571779D8"/>
    <w:rsid w:val="573E310E"/>
    <w:rsid w:val="5FA718F8"/>
    <w:rsid w:val="67D371DB"/>
    <w:rsid w:val="6DD6CC35"/>
    <w:rsid w:val="6E3FE93C"/>
    <w:rsid w:val="6FEE20B0"/>
    <w:rsid w:val="6FEF7350"/>
    <w:rsid w:val="6FFF291E"/>
    <w:rsid w:val="72DF338F"/>
    <w:rsid w:val="79EFE53F"/>
    <w:rsid w:val="7B9FFCA6"/>
    <w:rsid w:val="7BDE1837"/>
    <w:rsid w:val="7BE716A0"/>
    <w:rsid w:val="7BEF6739"/>
    <w:rsid w:val="7DCDDF50"/>
    <w:rsid w:val="7DF71EFB"/>
    <w:rsid w:val="7F4D7735"/>
    <w:rsid w:val="BBFFB2F8"/>
    <w:rsid w:val="BECDC5A2"/>
    <w:rsid w:val="BF751B6A"/>
    <w:rsid w:val="CBF82D32"/>
    <w:rsid w:val="CCFDC21C"/>
    <w:rsid w:val="EAEFCED8"/>
    <w:rsid w:val="ECFFF43F"/>
    <w:rsid w:val="EF3CFAA3"/>
    <w:rsid w:val="F37D82E2"/>
    <w:rsid w:val="F3B7675E"/>
    <w:rsid w:val="F4EEB9A4"/>
    <w:rsid w:val="F776623F"/>
    <w:rsid w:val="F9178AD0"/>
    <w:rsid w:val="FAD7362F"/>
    <w:rsid w:val="FBB7DE1A"/>
    <w:rsid w:val="FDBBA9BC"/>
    <w:rsid w:val="FDE7DCE2"/>
    <w:rsid w:val="FE7634BF"/>
    <w:rsid w:val="FF17AF27"/>
    <w:rsid w:val="FF9FC9D0"/>
    <w:rsid w:val="FFDFD860"/>
    <w:rsid w:val="FFEA2528"/>
    <w:rsid w:val="FFFF58D5"/>
    <w:rsid w:val="FFFF96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uppressAutoHyphens/>
      <w:spacing w:before="340" w:beforeAutospacing="0" w:after="33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16"/>
    <w:basedOn w:val="6"/>
    <w:qFormat/>
    <w:uiPriority w:val="0"/>
    <w:rPr>
      <w:rFonts w:hint="eastAsia" w:ascii="宋体" w:hAnsi="宋体" w:eastAsia="宋体" w:cs="宋体"/>
      <w:color w:val="000000"/>
      <w:sz w:val="24"/>
      <w:szCs w:val="24"/>
    </w:rPr>
  </w:style>
  <w:style w:type="character" w:customStyle="1" w:styleId="8">
    <w:name w:val="15"/>
    <w:basedOn w:val="6"/>
    <w:qFormat/>
    <w:uiPriority w:val="0"/>
    <w:rPr>
      <w:rFonts w:hint="default" w:ascii="Arial" w:hAnsi="Arial" w:cs="Arial"/>
      <w:color w:val="000000"/>
      <w:sz w:val="24"/>
      <w:szCs w:val="24"/>
    </w:rPr>
  </w:style>
  <w:style w:type="character" w:customStyle="1" w:styleId="9">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16</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2024-11-26T16:35:00Z</dcterms:created>
  <dc:creator>guest</dc:creator>
  <cp:lastModifiedBy>韩亚芝</cp:lastModifiedBy>
  <dcterms:modified xsi:type="dcterms:W3CDTF">2025-01-16T16:28:54Z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71C51C170C34D6A4B3A97767269CB049</vt:lpwstr>
  </property>
</Properties>
</file>