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80" w:lineRule="exact"/>
        <w:ind w:left="0" w:right="0"/>
        <w:jc w:val="center"/>
        <w:rPr>
          <w:rFonts w:hint="default" w:ascii="方正小标宋_GBK" w:hAnsi="方正小标宋_GBK" w:eastAsia="方正小标宋_GBK" w:cs="方正小标宋_GBK"/>
          <w:b w:val="0"/>
          <w:bCs w:val="0"/>
          <w:kern w:val="2"/>
          <w:sz w:val="44"/>
          <w:szCs w:val="44"/>
        </w:rPr>
      </w:pPr>
      <w:bookmarkStart w:id="0" w:name="_GoBack"/>
      <w:r>
        <w:rPr>
          <w:rFonts w:hint="default" w:ascii="方正小标宋_GBK" w:hAnsi="方正小标宋_GBK" w:eastAsia="方正小标宋_GBK" w:cs="方正小标宋_GBK"/>
          <w:b w:val="0"/>
          <w:bCs w:val="0"/>
          <w:kern w:val="2"/>
          <w:sz w:val="44"/>
          <w:szCs w:val="44"/>
          <w:lang w:val="en-US" w:eastAsia="zh-CN" w:bidi="ar"/>
        </w:rPr>
        <w:t>广东省自然资源厅第二轮中央生态环境保护</w:t>
      </w:r>
    </w:p>
    <w:p>
      <w:pPr>
        <w:keepNext w:val="0"/>
        <w:keepLines w:val="0"/>
        <w:widowControl w:val="0"/>
        <w:suppressLineNumbers w:val="0"/>
        <w:autoSpaceDE w:val="0"/>
        <w:autoSpaceDN/>
        <w:spacing w:before="0" w:beforeAutospacing="0" w:after="0" w:afterAutospacing="0" w:line="580" w:lineRule="exact"/>
        <w:ind w:left="0" w:right="0"/>
        <w:jc w:val="center"/>
        <w:rPr>
          <w:rFonts w:hint="default" w:ascii="方正小标宋_GBK" w:hAnsi="方正小标宋_GBK" w:eastAsia="方正小标宋_GBK" w:cs="方正小标宋_GBK"/>
          <w:b w:val="0"/>
          <w:bCs w:val="0"/>
          <w:kern w:val="2"/>
          <w:sz w:val="44"/>
          <w:szCs w:val="44"/>
        </w:rPr>
      </w:pPr>
      <w:r>
        <w:rPr>
          <w:rFonts w:hint="default" w:ascii="方正小标宋_GBK" w:hAnsi="方正小标宋_GBK" w:eastAsia="方正小标宋_GBK" w:cs="方正小标宋_GBK"/>
          <w:b w:val="0"/>
          <w:bCs w:val="0"/>
          <w:kern w:val="2"/>
          <w:sz w:val="44"/>
          <w:szCs w:val="44"/>
          <w:lang w:val="en-US" w:eastAsia="zh-CN" w:bidi="ar"/>
        </w:rPr>
        <w:t>督察第十六项任务整改完成情况公示</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按照《广东省中央生态环境保护督察整改任务验收销号工作指引（试行）》要求，第二轮中央生态环境保护督察第十六项任务</w:t>
      </w:r>
      <w:r>
        <w:rPr>
          <w:rFonts w:hint="default" w:ascii="仿宋_GB2312" w:hAnsi="Calibri" w:eastAsia="仿宋_GB2312" w:cs="仿宋_GB2312"/>
          <w:kern w:val="2"/>
          <w:sz w:val="32"/>
          <w:szCs w:val="32"/>
          <w:lang w:eastAsia="zh-CN" w:bidi="ar"/>
        </w:rPr>
        <w:t>涉及我厅的整改工作</w:t>
      </w:r>
      <w:r>
        <w:rPr>
          <w:rFonts w:hint="eastAsia" w:ascii="仿宋_GB2312" w:hAnsi="Calibri" w:eastAsia="仿宋_GB2312" w:cs="仿宋_GB2312"/>
          <w:kern w:val="2"/>
          <w:sz w:val="32"/>
          <w:szCs w:val="32"/>
          <w:lang w:val="en-US" w:eastAsia="zh-CN" w:bidi="ar"/>
        </w:rPr>
        <w:t>已完成，具备验收销号条件</w:t>
      </w:r>
      <w:r>
        <w:rPr>
          <w:rFonts w:hint="default" w:ascii="仿宋_GB2312" w:hAnsi="Calibri" w:eastAsia="仿宋_GB2312" w:cs="仿宋_GB2312"/>
          <w:kern w:val="2"/>
          <w:sz w:val="32"/>
          <w:szCs w:val="32"/>
          <w:lang w:eastAsia="zh-CN" w:bidi="ar"/>
        </w:rPr>
        <w:t>，</w:t>
      </w:r>
      <w:r>
        <w:rPr>
          <w:rFonts w:hint="eastAsia" w:ascii="仿宋_GB2312" w:hAnsi="Calibri" w:eastAsia="仿宋_GB2312" w:cs="仿宋_GB2312"/>
          <w:kern w:val="2"/>
          <w:sz w:val="32"/>
          <w:szCs w:val="32"/>
          <w:lang w:val="en-US" w:eastAsia="zh-CN" w:bidi="ar"/>
        </w:rPr>
        <w:t>现将整改完成情况予以公示，如对上述公示情况有异议，请在公示期间（2025年3月</w:t>
      </w:r>
      <w:r>
        <w:rPr>
          <w:rFonts w:hint="default" w:ascii="仿宋_GB2312" w:hAnsi="Calibri" w:eastAsia="仿宋_GB2312" w:cs="仿宋_GB2312"/>
          <w:kern w:val="2"/>
          <w:sz w:val="32"/>
          <w:szCs w:val="32"/>
          <w:lang w:eastAsia="zh-CN" w:bidi="ar"/>
        </w:rPr>
        <w:t>4</w:t>
      </w:r>
      <w:r>
        <w:rPr>
          <w:rFonts w:hint="eastAsia" w:ascii="仿宋_GB2312" w:hAnsi="Calibri" w:eastAsia="仿宋_GB2312" w:cs="仿宋_GB2312"/>
          <w:kern w:val="2"/>
          <w:sz w:val="32"/>
          <w:szCs w:val="32"/>
          <w:lang w:val="en-US" w:eastAsia="zh-CN" w:bidi="ar"/>
        </w:rPr>
        <w:t>日</w:t>
      </w:r>
      <w:r>
        <w:rPr>
          <w:rFonts w:hint="default" w:ascii="仿宋_GB2312" w:hAnsi="Calibri" w:eastAsia="仿宋_GB2312" w:cs="仿宋_GB2312"/>
          <w:kern w:val="2"/>
          <w:sz w:val="32"/>
          <w:szCs w:val="32"/>
          <w:lang w:eastAsia="zh-CN" w:bidi="ar"/>
        </w:rPr>
        <w:t>-</w:t>
      </w:r>
      <w:r>
        <w:rPr>
          <w:rFonts w:hint="eastAsia" w:ascii="仿宋_GB2312" w:hAnsi="Calibri" w:eastAsia="仿宋_GB2312" w:cs="仿宋_GB2312"/>
          <w:kern w:val="2"/>
          <w:sz w:val="32"/>
          <w:szCs w:val="32"/>
          <w:lang w:val="en-US" w:eastAsia="zh-CN" w:bidi="ar"/>
        </w:rPr>
        <w:t>2025年3月</w:t>
      </w:r>
      <w:r>
        <w:rPr>
          <w:rFonts w:hint="default" w:ascii="仿宋_GB2312" w:hAnsi="Calibri" w:eastAsia="仿宋_GB2312" w:cs="仿宋_GB2312"/>
          <w:kern w:val="2"/>
          <w:sz w:val="32"/>
          <w:szCs w:val="32"/>
          <w:lang w:eastAsia="zh-CN" w:bidi="ar"/>
        </w:rPr>
        <w:t>18</w:t>
      </w:r>
      <w:r>
        <w:rPr>
          <w:rFonts w:hint="eastAsia" w:ascii="仿宋_GB2312" w:hAnsi="Calibri" w:eastAsia="仿宋_GB2312" w:cs="仿宋_GB2312"/>
          <w:kern w:val="2"/>
          <w:sz w:val="32"/>
          <w:szCs w:val="32"/>
          <w:lang w:val="en-US" w:eastAsia="zh-CN" w:bidi="ar"/>
        </w:rPr>
        <w:t>日）向本单位反映。</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受理电话：020</w:t>
      </w:r>
      <w:r>
        <w:rPr>
          <w:rFonts w:hint="default" w:ascii="仿宋_GB2312" w:hAnsi="Calibri" w:eastAsia="仿宋_GB2312" w:cs="仿宋_GB2312"/>
          <w:kern w:val="2"/>
          <w:sz w:val="32"/>
          <w:szCs w:val="32"/>
          <w:lang w:eastAsia="zh-CN" w:bidi="ar"/>
        </w:rPr>
        <w:t>-</w:t>
      </w:r>
      <w:r>
        <w:rPr>
          <w:rFonts w:hint="eastAsia" w:ascii="仿宋_GB2312" w:hAnsi="Calibri" w:eastAsia="仿宋_GB2312" w:cs="仿宋_GB2312"/>
          <w:kern w:val="2"/>
          <w:sz w:val="32"/>
          <w:szCs w:val="32"/>
          <w:lang w:val="en-US" w:eastAsia="zh-CN" w:bidi="ar"/>
        </w:rPr>
        <w:t>83624250</w:t>
      </w:r>
    </w:p>
    <w:p>
      <w:pPr>
        <w:keepNext w:val="0"/>
        <w:keepLines w:val="0"/>
        <w:widowControl w:val="0"/>
        <w:suppressLineNumbers w:val="0"/>
        <w:autoSpaceDE w:val="0"/>
        <w:autoSpaceDN/>
        <w:spacing w:before="0" w:beforeAutospacing="0" w:after="0" w:afterAutospacing="0" w:line="58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firstLine="5120" w:firstLineChars="1600"/>
        <w:jc w:val="both"/>
        <w:rPr>
          <w:rFonts w:hint="eastAsia" w:ascii="仿宋_GB2312" w:eastAsia="仿宋_GB2312" w:cs="仿宋_GB2312"/>
          <w:kern w:val="2"/>
          <w:sz w:val="32"/>
          <w:szCs w:val="32"/>
        </w:rPr>
      </w:pPr>
      <w:r>
        <w:rPr>
          <w:rFonts w:hint="default" w:ascii="仿宋_GB2312" w:hAnsi="Calibri" w:eastAsia="仿宋_GB2312" w:cs="仿宋_GB2312"/>
          <w:kern w:val="2"/>
          <w:sz w:val="32"/>
          <w:szCs w:val="32"/>
          <w:lang w:eastAsia="zh-CN" w:bidi="ar"/>
        </w:rPr>
        <w:t xml:space="preserve"> </w:t>
      </w:r>
      <w:r>
        <w:rPr>
          <w:rFonts w:hint="eastAsia" w:ascii="仿宋_GB2312" w:hAnsi="Calibri" w:eastAsia="仿宋_GB2312" w:cs="仿宋_GB2312"/>
          <w:kern w:val="2"/>
          <w:sz w:val="32"/>
          <w:szCs w:val="32"/>
          <w:lang w:val="en-US" w:eastAsia="zh-CN" w:bidi="ar"/>
        </w:rPr>
        <w:t>广东省自然资源厅</w:t>
      </w:r>
    </w:p>
    <w:p>
      <w:pPr>
        <w:keepNext w:val="0"/>
        <w:keepLines w:val="0"/>
        <w:widowControl w:val="0"/>
        <w:suppressLineNumbers w:val="0"/>
        <w:autoSpaceDE w:val="0"/>
        <w:autoSpaceDN/>
        <w:spacing w:before="0" w:beforeAutospacing="0" w:after="0" w:afterAutospacing="0" w:line="580" w:lineRule="exact"/>
        <w:ind w:left="0" w:right="0" w:firstLine="5440" w:firstLineChars="17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2025年3月</w:t>
      </w:r>
      <w:r>
        <w:rPr>
          <w:rFonts w:hint="default" w:ascii="仿宋_GB2312" w:hAnsi="Calibri" w:eastAsia="仿宋_GB2312" w:cs="仿宋_GB2312"/>
          <w:kern w:val="2"/>
          <w:sz w:val="32"/>
          <w:szCs w:val="32"/>
          <w:lang w:eastAsia="zh-CN" w:bidi="ar"/>
        </w:rPr>
        <w:t>4</w:t>
      </w:r>
      <w:r>
        <w:rPr>
          <w:rFonts w:hint="eastAsia" w:ascii="仿宋_GB2312" w:hAnsi="Calibri" w:eastAsia="仿宋_GB2312" w:cs="仿宋_GB2312"/>
          <w:kern w:val="2"/>
          <w:sz w:val="32"/>
          <w:szCs w:val="32"/>
          <w:lang w:val="en-US" w:eastAsia="zh-CN" w:bidi="ar"/>
        </w:rPr>
        <w:t>日</w:t>
      </w:r>
    </w:p>
    <w:p>
      <w:pPr>
        <w:autoSpaceDE w:val="0"/>
        <w:spacing w:line="580" w:lineRule="exact"/>
        <w:rPr>
          <w:rFonts w:hint="eastAsia" w:ascii="Calibri" w:hAnsi="Calibri" w:eastAsia="宋体" w:cs="Times New Roman"/>
          <w:kern w:val="2"/>
          <w:sz w:val="21"/>
          <w:szCs w:val="21"/>
          <w:lang w:val="en-US" w:eastAsia="zh-CN" w:bidi="ar"/>
        </w:rPr>
        <w:sectPr>
          <w:pgSz w:w="11906" w:h="16838"/>
          <w:pgMar w:top="1837" w:right="1576" w:bottom="1440" w:left="1800" w:header="851" w:footer="992" w:gutter="0"/>
          <w:cols w:space="425" w:num="1"/>
          <w:docGrid w:type="lines" w:linePitch="312" w:charSpace="0"/>
        </w:sect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附表</w:t>
      </w:r>
    </w:p>
    <w:p>
      <w:pPr>
        <w:keepNext w:val="0"/>
        <w:keepLines w:val="0"/>
        <w:widowControl w:val="0"/>
        <w:suppressLineNumbers w:val="0"/>
        <w:autoSpaceDE w:val="0"/>
        <w:autoSpaceDN/>
        <w:spacing w:before="0" w:beforeAutospacing="0" w:after="0" w:afterAutospacing="0" w:line="580" w:lineRule="exact"/>
        <w:ind w:left="0" w:right="0"/>
        <w:jc w:val="center"/>
        <w:rPr>
          <w:rFonts w:hint="eastAsia" w:ascii="宋体" w:hAnsi="宋体" w:eastAsia="宋体" w:cs="宋体"/>
          <w:b/>
          <w:bCs/>
          <w:kern w:val="2"/>
          <w:sz w:val="36"/>
          <w:szCs w:val="36"/>
          <w:lang w:val="en-US" w:eastAsia="zh-CN" w:bidi="ar"/>
        </w:rPr>
      </w:pPr>
      <w:r>
        <w:rPr>
          <w:rFonts w:hint="eastAsia" w:ascii="宋体" w:hAnsi="宋体" w:eastAsia="宋体" w:cs="宋体"/>
          <w:b/>
          <w:bCs/>
          <w:kern w:val="2"/>
          <w:sz w:val="36"/>
          <w:szCs w:val="36"/>
          <w:lang w:val="en-US" w:eastAsia="zh-CN" w:bidi="ar"/>
        </w:rPr>
        <w:t>第二轮中央生态环境保护督察第十六项任务整改完成情况表</w:t>
      </w:r>
    </w:p>
    <w:p>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b/>
          <w:bCs/>
          <w:kern w:val="2"/>
          <w:sz w:val="36"/>
          <w:szCs w:val="36"/>
          <w:lang w:val="en-US" w:eastAsia="zh-CN" w:bidi="ar"/>
        </w:rPr>
      </w:pP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5"/>
        <w:gridCol w:w="2375"/>
        <w:gridCol w:w="1950"/>
        <w:gridCol w:w="3389"/>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3" w:hRule="atLeast"/>
        </w:trPr>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序号</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宋体" w:hAnsi="宋体" w:eastAsia="宋体" w:cs="宋体"/>
                <w:b/>
                <w:bCs/>
                <w:kern w:val="2"/>
                <w:sz w:val="21"/>
                <w:szCs w:val="21"/>
              </w:rPr>
            </w:pPr>
            <w:r>
              <w:rPr>
                <w:rFonts w:hint="default" w:ascii="宋体" w:hAnsi="宋体" w:eastAsia="宋体" w:cs="宋体"/>
                <w:b/>
                <w:bCs/>
                <w:kern w:val="2"/>
                <w:sz w:val="21"/>
                <w:szCs w:val="21"/>
              </w:rPr>
              <w:t>问题描述</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整改目标</w:t>
            </w:r>
          </w:p>
          <w:p>
            <w:pPr>
              <w:keepNext w:val="0"/>
              <w:keepLines w:val="0"/>
              <w:widowControl w:val="0"/>
              <w:suppressLineNumbers w:val="0"/>
              <w:autoSpaceDE w:val="0"/>
              <w:autoSpaceDN/>
              <w:spacing w:before="0" w:beforeAutospacing="0" w:after="0" w:afterAutospacing="0" w:line="300" w:lineRule="exact"/>
              <w:ind w:left="0" w:right="0"/>
              <w:jc w:val="center"/>
              <w:rPr>
                <w:rFonts w:hint="default" w:ascii="宋体" w:hAnsi="宋体" w:eastAsia="宋体" w:cs="宋体"/>
                <w:b/>
                <w:bCs/>
                <w:kern w:val="2"/>
                <w:sz w:val="21"/>
                <w:szCs w:val="21"/>
              </w:rPr>
            </w:pPr>
            <w:r>
              <w:rPr>
                <w:rFonts w:hint="default" w:ascii="宋体" w:hAnsi="宋体" w:eastAsia="宋体" w:cs="宋体"/>
                <w:b/>
                <w:bCs/>
                <w:kern w:val="2"/>
                <w:sz w:val="21"/>
                <w:szCs w:val="21"/>
                <w:lang w:eastAsia="zh-CN" w:bidi="ar"/>
              </w:rPr>
              <w:t>（省自然资源厅）</w:t>
            </w:r>
          </w:p>
        </w:tc>
        <w:tc>
          <w:tcPr>
            <w:tcW w:w="1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整改措施</w:t>
            </w:r>
          </w:p>
          <w:p>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b/>
                <w:bCs/>
                <w:kern w:val="2"/>
                <w:sz w:val="21"/>
                <w:szCs w:val="21"/>
              </w:rPr>
            </w:pPr>
            <w:r>
              <w:rPr>
                <w:rFonts w:hint="default" w:ascii="宋体" w:hAnsi="宋体" w:eastAsia="宋体" w:cs="宋体"/>
                <w:b/>
                <w:bCs/>
                <w:kern w:val="2"/>
                <w:sz w:val="21"/>
                <w:szCs w:val="21"/>
                <w:lang w:eastAsia="zh-CN" w:bidi="ar"/>
              </w:rPr>
              <w:t>（省自然资源厅）</w:t>
            </w:r>
          </w:p>
        </w:tc>
        <w:tc>
          <w:tcPr>
            <w:tcW w:w="1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整改完成情况</w:t>
            </w:r>
          </w:p>
          <w:p>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b/>
                <w:bCs/>
                <w:kern w:val="2"/>
                <w:sz w:val="21"/>
                <w:szCs w:val="21"/>
              </w:rPr>
            </w:pPr>
            <w:r>
              <w:rPr>
                <w:rFonts w:hint="default" w:ascii="宋体" w:hAnsi="宋体" w:eastAsia="宋体" w:cs="宋体"/>
                <w:b/>
                <w:bCs/>
                <w:kern w:val="2"/>
                <w:sz w:val="21"/>
                <w:szCs w:val="21"/>
                <w:lang w:eastAsia="zh-CN" w:bidi="ar"/>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8" w:hRule="atLeast"/>
        </w:trPr>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第十六项</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些部门和地方在处理生态环境管理新问题上责任意识不强，统筹不力，魄力不足。近年来，珠三角河道非法洗砂洗泥行为日益猖獗，污染河道水质，改变河床形态，威胁行洪和航道安全，对水生生物栖息繁衍带来不良影响。省直有关部门对此重视不够，主动作为不足，既没有充分行使各部门现有职能严厉打击，也没有研究如何加强规范引导。有关地市和部门虽然多次开展联合执法，但执法效果欠佳，监管力度不够，甚至出现作业船只和监管部门“打游击”现象，非法洗砂洗泥未能得到有效遏制。</w:t>
            </w:r>
          </w:p>
          <w:p>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kern w:val="2"/>
                <w:sz w:val="21"/>
                <w:szCs w:val="21"/>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积极做好陆地海砂淡化场规划选址和用地保障，强化海砂开采许可管理和日常监管，配合打击非法洗砂洗泥行为，有效维护我省河道水生态环境健康、可持续发展。</w:t>
            </w:r>
          </w:p>
        </w:tc>
        <w:tc>
          <w:tcPr>
            <w:tcW w:w="11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1.摸查全省洗砂场地空间分布。配合省有关部门指导各地市对辖区内陆地洗砂场空间分布、产量等情况进行全面摸查，并将我省现有洗砂场用地叠加到国土空间规划“一张图”上。 </w:t>
            </w:r>
          </w:p>
          <w:p>
            <w:pPr>
              <w:keepNext w:val="0"/>
              <w:keepLines w:val="0"/>
              <w:widowControl w:val="0"/>
              <w:suppressLineNumbers w:val="0"/>
              <w:autoSpaceDE w:val="0"/>
              <w:autoSpaceDN/>
              <w:spacing w:before="0" w:beforeAutospacing="0" w:after="0" w:afterAutospacing="0" w:line="3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2.划定陆地海砂淡化场。研究提出陆地海砂淡化场选址条件。指导各地从供需平衡角度出发，明确辖区内拟新增的陆地海砂淡化场数量和用地需求，并结合国土空间规划编制、实施，选定若干区域设置陆地海砂淡化场，解决海砂无处可洗的问题。 </w:t>
            </w:r>
          </w:p>
          <w:p>
            <w:pPr>
              <w:keepNext w:val="0"/>
              <w:keepLines w:val="0"/>
              <w:widowControl w:val="0"/>
              <w:suppressLineNumbers w:val="0"/>
              <w:autoSpaceDE w:val="0"/>
              <w:autoSpaceDN/>
              <w:spacing w:before="0" w:beforeAutospacing="0" w:after="0" w:afterAutospacing="0" w:line="3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严格海砂开采许可管理。督促开采人按照批准的范围和方式规范有序开采海砂；督促海砂开采企业健全海砂开采台账，在销售海砂时向运砂船舶提供每船次海砂来源证明。对在海砂开采监管中发现的违法问题，及时移交海洋综合执法部门查处。</w:t>
            </w:r>
          </w:p>
        </w:tc>
        <w:tc>
          <w:tcPr>
            <w:tcW w:w="19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指导各地科学合理划定陆地海砂淡化场。印发《关于支持陆地海砂淡化场规划建设的通知》《关于解答设置陆地海砂淡化场有关问题的函》等政策文件，从空间保障、用地指标支持等方面提出政策指引和支持措施，将规划的海砂淡化场全部纳入国土空间规划“一张图”实施监督管理系统。组织对陆地海砂淡化场建设情况开展检查，指导地市开展洗砂场相关专项规划，为海砂淡化场建设提供规划和空间保障。</w:t>
            </w:r>
          </w:p>
          <w:p>
            <w:pPr>
              <w:keepNext w:val="0"/>
              <w:keepLines w:val="0"/>
              <w:widowControl w:val="0"/>
              <w:suppressLineNumbers w:val="0"/>
              <w:autoSpaceDE w:val="0"/>
              <w:autoSpaceDN/>
              <w:spacing w:before="0" w:beforeAutospacing="0" w:after="0" w:afterAutospacing="0" w:line="3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加快推进海砂淡化场规划建设。联合印发《关于加快推进陆地海砂淡化场建设的函》，提出陆地海砂淡化场建设任务的最低建议生产能力方案。采取会议调度、实地督导等方式对各地海砂淡化场建设进行持续督导，督促各地将海砂淡化场建设纳入重点工作，加快推动海砂淡化场的开工建设，确保按任务要求建设完成并启动运营一批海砂淡化场。</w:t>
            </w:r>
          </w:p>
          <w:p>
            <w:pPr>
              <w:keepNext w:val="0"/>
              <w:keepLines w:val="0"/>
              <w:widowControl w:val="0"/>
              <w:suppressLineNumbers w:val="0"/>
              <w:autoSpaceDE w:val="0"/>
              <w:autoSpaceDN/>
              <w:spacing w:before="0" w:beforeAutospacing="0" w:after="0" w:afterAutospacing="0" w:line="3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全面摸查核实我省陆地海砂淡化场地底数。提请省河长办印发《关于做好非法洗砂洗泥整改有关情况统计工作的通知》，及时收集整理地市已建运营、在建、规划等不同情形海砂淡化场情况，为全面、准确摸查海砂淡化场的空间分布、设计产能、实际产量等情况打牢基础。</w:t>
            </w:r>
            <w:r>
              <w:rPr>
                <w:rFonts w:hint="eastAsia" w:ascii="宋体" w:hAnsi="宋体" w:eastAsia="宋体" w:cs="宋体"/>
                <w:b w:val="0"/>
                <w:bCs w:val="0"/>
                <w:kern w:val="2"/>
                <w:sz w:val="21"/>
                <w:szCs w:val="21"/>
                <w:lang w:val="en-US" w:eastAsia="zh-CN" w:bidi="ar"/>
              </w:rPr>
              <w:t>根据申请销号时各地上报数据统计，全省各地划定陆地海砂淡化场共计83处，其中已建</w:t>
            </w:r>
            <w:r>
              <w:rPr>
                <w:rFonts w:hint="default" w:ascii="宋体" w:hAnsi="宋体" w:eastAsia="宋体" w:cs="宋体"/>
                <w:b w:val="0"/>
                <w:bCs w:val="0"/>
                <w:kern w:val="2"/>
                <w:sz w:val="21"/>
                <w:szCs w:val="21"/>
                <w:lang w:eastAsia="zh-CN" w:bidi="ar"/>
              </w:rPr>
              <w:t>已投产</w:t>
            </w:r>
            <w:r>
              <w:rPr>
                <w:rFonts w:hint="eastAsia" w:ascii="宋体" w:hAnsi="宋体" w:eastAsia="宋体" w:cs="宋体"/>
                <w:b w:val="0"/>
                <w:bCs w:val="0"/>
                <w:kern w:val="2"/>
                <w:sz w:val="21"/>
                <w:szCs w:val="21"/>
                <w:lang w:val="en-US" w:eastAsia="zh-CN" w:bidi="ar"/>
              </w:rPr>
              <w:t>10处，已建未投产6处，在建2处，总产能达到年处理量最低2160万立方米的目标</w:t>
            </w:r>
            <w:r>
              <w:rPr>
                <w:rFonts w:hint="eastAsia" w:ascii="宋体" w:hAnsi="宋体" w:eastAsia="宋体" w:cs="宋体"/>
                <w:kern w:val="2"/>
                <w:sz w:val="21"/>
                <w:szCs w:val="21"/>
                <w:lang w:val="en-US" w:eastAsia="zh-CN" w:bidi="ar"/>
              </w:rPr>
              <w:t>。</w:t>
            </w:r>
          </w:p>
          <w:p>
            <w:pPr>
              <w:keepNext w:val="0"/>
              <w:keepLines w:val="0"/>
              <w:widowControl w:val="0"/>
              <w:suppressLineNumbers w:val="0"/>
              <w:autoSpaceDE w:val="0"/>
              <w:autoSpaceDN/>
              <w:spacing w:before="0" w:beforeAutospacing="0" w:after="0" w:afterAutospacing="0" w:line="300" w:lineRule="exact"/>
              <w:ind w:left="0" w:right="0" w:firstLine="420" w:firstLineChars="200"/>
              <w:jc w:val="both"/>
              <w:rPr>
                <w:rFonts w:hint="eastAsia" w:ascii="宋体" w:hAnsi="宋体" w:eastAsia="宋体" w:cs="宋体"/>
                <w:kern w:val="2"/>
                <w:sz w:val="21"/>
                <w:szCs w:val="21"/>
                <w:lang w:val="en-US" w:eastAsia="zh-CN" w:bidi="ar"/>
              </w:rPr>
            </w:pPr>
          </w:p>
          <w:p>
            <w:pPr>
              <w:keepNext w:val="0"/>
              <w:keepLines w:val="0"/>
              <w:widowControl w:val="0"/>
              <w:suppressLineNumbers w:val="0"/>
              <w:autoSpaceDE w:val="0"/>
              <w:autoSpaceDN/>
              <w:spacing w:before="0" w:beforeAutospacing="0" w:after="0" w:afterAutospacing="0" w:line="300" w:lineRule="exact"/>
              <w:ind w:left="0" w:right="0" w:firstLine="420" w:firstLineChars="200"/>
              <w:jc w:val="both"/>
              <w:rPr>
                <w:rFonts w:hint="eastAsia" w:ascii="宋体" w:hAnsi="宋体" w:eastAsia="宋体" w:cs="宋体"/>
                <w:b w:val="0"/>
                <w:bCs w:val="0"/>
                <w:kern w:val="2"/>
                <w:sz w:val="21"/>
                <w:szCs w:val="21"/>
              </w:rPr>
            </w:pPr>
            <w:r>
              <w:rPr>
                <w:rFonts w:hint="eastAsia" w:ascii="宋体" w:hAnsi="宋体" w:eastAsia="宋体" w:cs="宋体"/>
                <w:kern w:val="2"/>
                <w:sz w:val="21"/>
                <w:szCs w:val="21"/>
                <w:lang w:val="en-US" w:eastAsia="zh-CN" w:bidi="ar"/>
              </w:rPr>
              <w:t>4.进一步加强海砂开采环节监管。印发《关于进一步做好海砂开采监管工作的通知》，进一步明确海砂开采监管相关要求。采取座谈交流、现场检查等方式，对已取得合法海砂开采权的企业进行督导；完善海砂开采监管台账，督促指导有关地市自然资源主管部门加强对海砂开采量、销售量、销售去向、终端用途及洗砂场所等信息的统计。</w:t>
            </w:r>
            <w:r>
              <w:rPr>
                <w:rFonts w:hint="default" w:ascii="宋体" w:hAnsi="宋体" w:eastAsia="宋体" w:cs="宋体"/>
                <w:kern w:val="2"/>
                <w:sz w:val="21"/>
                <w:szCs w:val="21"/>
                <w:lang w:eastAsia="zh-CN" w:bidi="ar"/>
              </w:rPr>
              <w:t>指导海砂开采企业在销售海砂时向运砂船舶开具每船次海砂来源证明。</w:t>
            </w:r>
            <w:r>
              <w:rPr>
                <w:rFonts w:hint="eastAsia" w:ascii="宋体" w:hAnsi="宋体" w:eastAsia="宋体" w:cs="宋体"/>
                <w:b w:val="0"/>
                <w:bCs w:val="0"/>
                <w:kern w:val="2"/>
                <w:sz w:val="21"/>
                <w:szCs w:val="21"/>
                <w:lang w:val="en-US" w:eastAsia="zh-CN" w:bidi="ar"/>
              </w:rPr>
              <w:t>组织协调4家海砂开采企业分别与9家以上合法经营的海砂陆地淡化场签订洗砂合作协议，并要求其在销售海砂时向海砂采购方推荐洗砂场所。</w:t>
            </w:r>
          </w:p>
          <w:p>
            <w:pPr>
              <w:keepNext w:val="0"/>
              <w:keepLines w:val="0"/>
              <w:widowControl w:val="0"/>
              <w:suppressLineNumbers w:val="0"/>
              <w:autoSpaceDE w:val="0"/>
              <w:autoSpaceDN/>
              <w:spacing w:before="0" w:beforeAutospacing="0" w:after="0" w:afterAutospacing="0" w:line="300" w:lineRule="exact"/>
              <w:ind w:left="0" w:right="0" w:firstLine="420"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5.积极配合打击非法洗砂洗泥行为。配合省河长办发布《关于禁止在出海水道与河道水域洗砂洗泥等污染环境活动的通告》，积极参与《广东省洗砂管理办法》《广东省洗砂监管执法机制》等规章、文件的制定工作。积极配合开展非法洗砂洗泥专项执法行动的历次联合执法检查，牵头组织开展2023年第四季度洗砂联合监管执法专项行动，打击非法洗砂洗泥行为。</w:t>
            </w:r>
          </w:p>
        </w:tc>
      </w:tr>
    </w:tbl>
    <w:p>
      <w:pPr>
        <w:keepNext w:val="0"/>
        <w:keepLines w:val="0"/>
        <w:widowControl w:val="0"/>
        <w:suppressLineNumbers w:val="0"/>
        <w:autoSpaceDE w:val="0"/>
        <w:autoSpaceDN/>
        <w:spacing w:before="0" w:beforeAutospacing="0" w:after="0" w:afterAutospacing="0" w:line="580" w:lineRule="exact"/>
        <w:ind w:left="0" w:right="0"/>
        <w:jc w:val="both"/>
        <w:rPr>
          <w:rFonts w:hint="default" w:ascii="Calibri" w:hAnsi="Calibri" w:eastAsia="宋体" w:cs="Times New Roman"/>
          <w:kern w:val="2"/>
          <w:sz w:val="21"/>
          <w:szCs w:val="21"/>
        </w:rPr>
      </w:pPr>
    </w:p>
    <w:p>
      <w:pPr>
        <w:keepNext w:val="0"/>
        <w:keepLines w:val="0"/>
        <w:widowControl w:val="0"/>
        <w:suppressLineNumbers w:val="0"/>
        <w:autoSpaceDE w:val="0"/>
        <w:autoSpaceDN/>
        <w:spacing w:before="0" w:beforeAutospacing="0" w:after="0" w:afterAutospacing="0" w:line="580" w:lineRule="exact"/>
        <w:ind w:left="0" w:right="0"/>
        <w:jc w:val="both"/>
        <w:rPr>
          <w:rFonts w:hint="eastAsia" w:ascii="Calibri" w:hAnsi="Calibri" w:eastAsia="宋体" w:cs="Times New Roman"/>
          <w:kern w:val="2"/>
          <w:sz w:val="21"/>
          <w:szCs w:val="21"/>
          <w:lang w:val="en-US" w:eastAsia="zh-CN" w:bidi="ar"/>
        </w:rPr>
      </w:pPr>
    </w:p>
    <w:p>
      <w:pPr>
        <w:autoSpaceDE w:val="0"/>
        <w:spacing w:line="580" w:lineRule="exact"/>
        <w:rPr>
          <w:rFonts w:hint="eastAsia" w:ascii="Calibri" w:hAnsi="Calibri" w:eastAsia="宋体" w:cs="Times New Roman"/>
          <w:kern w:val="2"/>
          <w:sz w:val="21"/>
          <w:szCs w:val="21"/>
          <w:lang w:val="en-US" w:eastAsia="zh-CN" w:bidi="ar"/>
        </w:rPr>
      </w:pPr>
      <w:r>
        <w:rPr>
          <w:rFonts w:hint="eastAsia" w:ascii="Calibri" w:hAnsi="Calibri" w:eastAsia="宋体" w:cs="Times New Roman"/>
          <w:kern w:val="2"/>
          <w:sz w:val="21"/>
          <w:szCs w:val="21"/>
          <w:lang w:val="en-US" w:eastAsia="zh-CN" w:bidi="ar"/>
        </w:rPr>
        <w:t xml:space="preserve"> </w:t>
      </w:r>
    </w:p>
    <w:bookmarkEnd w:id="0"/>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方正小标宋简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521A6A"/>
    <w:rsid w:val="37FE93C7"/>
    <w:rsid w:val="AF786BDB"/>
    <w:rsid w:val="B7FBA0D4"/>
    <w:rsid w:val="FDDA89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2025-03-04T08:23:00Z</dcterms:created>
  <dc:creator>gtt</dc:creator>
  <cp:lastModifiedBy>童丹龄</cp:lastModifiedBy>
  <dcterms:modified xsi:type="dcterms:W3CDTF">2025-03-04T09:26:39Z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279CCFFB6C934E8E98214211DA37B765</vt:lpwstr>
  </property>
</Properties>
</file>