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pBdr>
          <w:bottom w:val="none" w:color="auto" w:sz="0" w:space="0"/>
        </w:pBdr>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lang w:val="en-US" w:eastAsia="zh-CN" w:bidi="ar-SA"/>
        </w:rPr>
      </w:pPr>
      <w:bookmarkStart w:id="0" w:name="_GoBack"/>
      <w:bookmarkEnd w:id="0"/>
      <w:r>
        <w:rPr>
          <w:rFonts w:hint="eastAsia" w:ascii="黑体" w:hAnsi="黑体" w:eastAsia="黑体" w:cs="黑体"/>
          <w:sz w:val="28"/>
          <w:szCs w:val="28"/>
          <w:lang w:val="en-US" w:eastAsia="zh-CN" w:bidi="ar-SA"/>
        </w:rPr>
        <w:t>附件：创新中心2026年度开放基金课题和自主研究课题拟立项名单</w:t>
      </w:r>
    </w:p>
    <w:tbl>
      <w:tblPr>
        <w:tblStyle w:val="8"/>
        <w:tblW w:w="9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
        <w:gridCol w:w="3379"/>
        <w:gridCol w:w="1075"/>
        <w:gridCol w:w="2213"/>
        <w:gridCol w:w="826"/>
        <w:gridCol w:w="1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blHeader/>
          <w:jc w:val="center"/>
        </w:trPr>
        <w:tc>
          <w:tcPr>
            <w:tcW w:w="507" w:type="dxa"/>
            <w:vAlign w:val="center"/>
          </w:tcPr>
          <w:p>
            <w:pPr>
              <w:keepNext w:val="0"/>
              <w:keepLines w:val="0"/>
              <w:pageBreakBefore w:val="0"/>
              <w:widowControl w:val="0"/>
              <w:kinsoku/>
              <w:wordWrap/>
              <w:overflowPunct/>
              <w:topLinePunct w:val="0"/>
              <w:autoSpaceDE/>
              <w:autoSpaceDN/>
              <w:bidi w:val="0"/>
              <w:adjustRightInd/>
              <w:snapToGrid/>
              <w:spacing w:line="276" w:lineRule="auto"/>
              <w:jc w:val="center"/>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序号</w:t>
            </w:r>
          </w:p>
        </w:tc>
        <w:tc>
          <w:tcPr>
            <w:tcW w:w="3379" w:type="dxa"/>
            <w:vAlign w:val="center"/>
          </w:tcPr>
          <w:p>
            <w:pPr>
              <w:keepNext w:val="0"/>
              <w:keepLines w:val="0"/>
              <w:pageBreakBefore w:val="0"/>
              <w:widowControl w:val="0"/>
              <w:kinsoku/>
              <w:wordWrap/>
              <w:overflowPunct/>
              <w:topLinePunct w:val="0"/>
              <w:autoSpaceDE/>
              <w:autoSpaceDN/>
              <w:bidi w:val="0"/>
              <w:adjustRightInd/>
              <w:snapToGrid/>
              <w:spacing w:line="276" w:lineRule="auto"/>
              <w:jc w:val="center"/>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课题名称</w:t>
            </w:r>
          </w:p>
        </w:tc>
        <w:tc>
          <w:tcPr>
            <w:tcW w:w="1075" w:type="dxa"/>
            <w:vAlign w:val="center"/>
          </w:tcPr>
          <w:p>
            <w:pPr>
              <w:keepNext w:val="0"/>
              <w:keepLines w:val="0"/>
              <w:pageBreakBefore w:val="0"/>
              <w:widowControl w:val="0"/>
              <w:kinsoku/>
              <w:wordWrap/>
              <w:overflowPunct/>
              <w:topLinePunct w:val="0"/>
              <w:autoSpaceDE/>
              <w:autoSpaceDN/>
              <w:bidi w:val="0"/>
              <w:adjustRightInd/>
              <w:snapToGrid/>
              <w:spacing w:line="276" w:lineRule="auto"/>
              <w:jc w:val="center"/>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课题</w:t>
            </w:r>
          </w:p>
          <w:p>
            <w:pPr>
              <w:keepNext w:val="0"/>
              <w:keepLines w:val="0"/>
              <w:pageBreakBefore w:val="0"/>
              <w:widowControl w:val="0"/>
              <w:kinsoku/>
              <w:wordWrap/>
              <w:overflowPunct/>
              <w:topLinePunct w:val="0"/>
              <w:autoSpaceDE/>
              <w:autoSpaceDN/>
              <w:bidi w:val="0"/>
              <w:adjustRightInd/>
              <w:snapToGrid/>
              <w:spacing w:line="276" w:lineRule="auto"/>
              <w:jc w:val="center"/>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负责人</w:t>
            </w:r>
          </w:p>
        </w:tc>
        <w:tc>
          <w:tcPr>
            <w:tcW w:w="2213" w:type="dxa"/>
            <w:vAlign w:val="center"/>
          </w:tcPr>
          <w:p>
            <w:pPr>
              <w:keepNext w:val="0"/>
              <w:keepLines w:val="0"/>
              <w:pageBreakBefore w:val="0"/>
              <w:widowControl w:val="0"/>
              <w:kinsoku/>
              <w:wordWrap/>
              <w:overflowPunct/>
              <w:topLinePunct w:val="0"/>
              <w:autoSpaceDE/>
              <w:autoSpaceDN/>
              <w:bidi w:val="0"/>
              <w:adjustRightInd/>
              <w:snapToGrid/>
              <w:spacing w:line="276" w:lineRule="auto"/>
              <w:jc w:val="center"/>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所在单位</w:t>
            </w:r>
          </w:p>
        </w:tc>
        <w:tc>
          <w:tcPr>
            <w:tcW w:w="826" w:type="dxa"/>
            <w:vAlign w:val="center"/>
          </w:tcPr>
          <w:p>
            <w:pPr>
              <w:keepNext w:val="0"/>
              <w:keepLines w:val="0"/>
              <w:pageBreakBefore w:val="0"/>
              <w:widowControl w:val="0"/>
              <w:kinsoku/>
              <w:wordWrap/>
              <w:overflowPunct/>
              <w:topLinePunct w:val="0"/>
              <w:autoSpaceDE/>
              <w:autoSpaceDN/>
              <w:bidi w:val="0"/>
              <w:adjustRightInd/>
              <w:snapToGrid/>
              <w:spacing w:line="276" w:lineRule="auto"/>
              <w:jc w:val="center"/>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资助类别</w:t>
            </w:r>
          </w:p>
        </w:tc>
        <w:tc>
          <w:tcPr>
            <w:tcW w:w="1031" w:type="dxa"/>
            <w:tcBorders>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276" w:lineRule="auto"/>
              <w:jc w:val="center"/>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资助</w:t>
            </w:r>
          </w:p>
          <w:p>
            <w:pPr>
              <w:keepNext w:val="0"/>
              <w:keepLines w:val="0"/>
              <w:pageBreakBefore w:val="0"/>
              <w:widowControl w:val="0"/>
              <w:kinsoku/>
              <w:wordWrap/>
              <w:overflowPunct/>
              <w:topLinePunct w:val="0"/>
              <w:autoSpaceDE/>
              <w:autoSpaceDN/>
              <w:bidi w:val="0"/>
              <w:adjustRightInd/>
              <w:snapToGrid/>
              <w:spacing w:line="276" w:lineRule="auto"/>
              <w:jc w:val="center"/>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50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3379"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基于知识增强与智能体推理的变化检测决策体系研究</w:t>
            </w:r>
          </w:p>
        </w:tc>
        <w:tc>
          <w:tcPr>
            <w:tcW w:w="1075"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王一博</w:t>
            </w:r>
          </w:p>
        </w:tc>
        <w:tc>
          <w:tcPr>
            <w:tcW w:w="2213"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广州大学</w:t>
            </w:r>
          </w:p>
        </w:tc>
        <w:tc>
          <w:tcPr>
            <w:tcW w:w="826"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开放基金</w:t>
            </w:r>
          </w:p>
        </w:tc>
        <w:tc>
          <w:tcPr>
            <w:tcW w:w="1031" w:type="dxa"/>
            <w:tcBorders>
              <w:right w:val="single" w:color="000000" w:sz="6"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75" w:hRule="atLeast"/>
          <w:jc w:val="center"/>
        </w:trPr>
        <w:tc>
          <w:tcPr>
            <w:tcW w:w="50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3379"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面向土地储备数据治理的智能体关键技术研究与应用</w:t>
            </w:r>
          </w:p>
        </w:tc>
        <w:tc>
          <w:tcPr>
            <w:tcW w:w="1075"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胡彦波</w:t>
            </w:r>
          </w:p>
        </w:tc>
        <w:tc>
          <w:tcPr>
            <w:tcW w:w="2213"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北京数慧时空信息技术有限公司</w:t>
            </w:r>
          </w:p>
        </w:tc>
        <w:tc>
          <w:tcPr>
            <w:tcW w:w="826"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开放基金</w:t>
            </w:r>
          </w:p>
        </w:tc>
        <w:tc>
          <w:tcPr>
            <w:tcW w:w="1031" w:type="dxa"/>
            <w:tcBorders>
              <w:right w:val="single" w:color="000000" w:sz="6"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52" w:hRule="atLeast"/>
          <w:jc w:val="center"/>
        </w:trPr>
        <w:tc>
          <w:tcPr>
            <w:tcW w:w="50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3379"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粤港澳大湾区内地九市城镇低效工业用地再开发潜力评价模型和土地市场影响研究</w:t>
            </w:r>
          </w:p>
        </w:tc>
        <w:tc>
          <w:tcPr>
            <w:tcW w:w="1075"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裴晓阳</w:t>
            </w:r>
          </w:p>
        </w:tc>
        <w:tc>
          <w:tcPr>
            <w:tcW w:w="2213"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浙江臻善科技股份有限公司</w:t>
            </w:r>
          </w:p>
        </w:tc>
        <w:tc>
          <w:tcPr>
            <w:tcW w:w="826"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开放基金</w:t>
            </w:r>
          </w:p>
        </w:tc>
        <w:tc>
          <w:tcPr>
            <w:tcW w:w="1031" w:type="dxa"/>
            <w:tcBorders>
              <w:right w:val="single" w:color="000000" w:sz="6"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8" w:hRule="atLeast"/>
          <w:jc w:val="center"/>
        </w:trPr>
        <w:tc>
          <w:tcPr>
            <w:tcW w:w="50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3379"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粤港澳大湾区内地市县房地产土地市场评估及驱动机制研究</w:t>
            </w:r>
          </w:p>
        </w:tc>
        <w:tc>
          <w:tcPr>
            <w:tcW w:w="1075"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王龙、</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陈世祺</w:t>
            </w:r>
          </w:p>
        </w:tc>
        <w:tc>
          <w:tcPr>
            <w:tcW w:w="2213"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广州市城市规划勘测设计研究院有限公司、</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自然资源部不动产登记中心</w:t>
            </w:r>
          </w:p>
        </w:tc>
        <w:tc>
          <w:tcPr>
            <w:tcW w:w="826"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开放基金</w:t>
            </w:r>
          </w:p>
        </w:tc>
        <w:tc>
          <w:tcPr>
            <w:tcW w:w="1031" w:type="dxa"/>
            <w:tcBorders>
              <w:right w:val="single" w:color="000000" w:sz="6"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8" w:hRule="atLeast"/>
          <w:jc w:val="center"/>
        </w:trPr>
        <w:tc>
          <w:tcPr>
            <w:tcW w:w="50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3379"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基于生成式大模型与多源异构数据的自然资源智能审批关键技术研究与应用</w:t>
            </w:r>
          </w:p>
        </w:tc>
        <w:tc>
          <w:tcPr>
            <w:tcW w:w="1075"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王记红</w:t>
            </w:r>
          </w:p>
        </w:tc>
        <w:tc>
          <w:tcPr>
            <w:tcW w:w="2213"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广东第二师范学院</w:t>
            </w:r>
          </w:p>
        </w:tc>
        <w:tc>
          <w:tcPr>
            <w:tcW w:w="826"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开放基金</w:t>
            </w:r>
          </w:p>
        </w:tc>
        <w:tc>
          <w:tcPr>
            <w:tcW w:w="1031" w:type="dxa"/>
            <w:tcBorders>
              <w:right w:val="single" w:color="000000" w:sz="6"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8" w:hRule="atLeast"/>
          <w:jc w:val="center"/>
        </w:trPr>
        <w:tc>
          <w:tcPr>
            <w:tcW w:w="50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3379"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知识驱动的自然资源智能决策模型研究</w:t>
            </w:r>
          </w:p>
        </w:tc>
        <w:tc>
          <w:tcPr>
            <w:tcW w:w="1075"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朱怀杰</w:t>
            </w:r>
          </w:p>
        </w:tc>
        <w:tc>
          <w:tcPr>
            <w:tcW w:w="2213"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中山大学</w:t>
            </w:r>
          </w:p>
        </w:tc>
        <w:tc>
          <w:tcPr>
            <w:tcW w:w="826"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自主研究</w:t>
            </w:r>
          </w:p>
        </w:tc>
        <w:tc>
          <w:tcPr>
            <w:tcW w:w="1031" w:type="dxa"/>
            <w:tcBorders>
              <w:right w:val="single" w:color="000000" w:sz="6"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50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3379"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基于多目标优化模型的低空起降设施数字化辅助选址技术研究</w:t>
            </w:r>
          </w:p>
        </w:tc>
        <w:tc>
          <w:tcPr>
            <w:tcW w:w="1075"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杨圣兵</w:t>
            </w:r>
          </w:p>
        </w:tc>
        <w:tc>
          <w:tcPr>
            <w:tcW w:w="2213"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广东省城乡规划设计研究院科技集团股份有限公司</w:t>
            </w:r>
          </w:p>
        </w:tc>
        <w:tc>
          <w:tcPr>
            <w:tcW w:w="826"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自主研究</w:t>
            </w:r>
          </w:p>
        </w:tc>
        <w:tc>
          <w:tcPr>
            <w:tcW w:w="1031" w:type="dxa"/>
            <w:tcBorders>
              <w:right w:val="single" w:color="000000" w:sz="6"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38" w:hRule="atLeast"/>
          <w:jc w:val="center"/>
        </w:trPr>
        <w:tc>
          <w:tcPr>
            <w:tcW w:w="50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3379"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基于AI多智能体驱动的广东省植被变化模拟研究</w:t>
            </w:r>
          </w:p>
        </w:tc>
        <w:tc>
          <w:tcPr>
            <w:tcW w:w="1075"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姚永祥、</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雷丽珍</w:t>
            </w:r>
          </w:p>
        </w:tc>
        <w:tc>
          <w:tcPr>
            <w:tcW w:w="2213"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武汉大学、广东省国土资源技术中心</w:t>
            </w:r>
          </w:p>
        </w:tc>
        <w:tc>
          <w:tcPr>
            <w:tcW w:w="826"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自主研究</w:t>
            </w:r>
          </w:p>
        </w:tc>
        <w:tc>
          <w:tcPr>
            <w:tcW w:w="1031" w:type="dxa"/>
            <w:tcBorders>
              <w:right w:val="single" w:color="000000" w:sz="6"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38" w:hRule="atLeast"/>
          <w:jc w:val="center"/>
        </w:trPr>
        <w:tc>
          <w:tcPr>
            <w:tcW w:w="50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3379"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粤港澳大湾区内地九市城镇房地产用地供应潜力评价研究</w:t>
            </w:r>
          </w:p>
        </w:tc>
        <w:tc>
          <w:tcPr>
            <w:tcW w:w="1075"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潘娉婷、</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张经度</w:t>
            </w:r>
          </w:p>
        </w:tc>
        <w:tc>
          <w:tcPr>
            <w:tcW w:w="2213"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广东省国土资源技术中心、广东省城乡规划设计研究院科技集团股份有限公司</w:t>
            </w:r>
          </w:p>
        </w:tc>
        <w:tc>
          <w:tcPr>
            <w:tcW w:w="826"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自主研究</w:t>
            </w:r>
          </w:p>
        </w:tc>
        <w:tc>
          <w:tcPr>
            <w:tcW w:w="1031" w:type="dxa"/>
            <w:tcBorders>
              <w:right w:val="single" w:color="000000" w:sz="6"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91" w:hRule="atLeast"/>
          <w:jc w:val="center"/>
        </w:trPr>
        <w:tc>
          <w:tcPr>
            <w:tcW w:w="50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3379"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未确定使用权人国有建设用地资产专项清查智能化关键技术研究</w:t>
            </w:r>
          </w:p>
        </w:tc>
        <w:tc>
          <w:tcPr>
            <w:tcW w:w="1075"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黄韬</w:t>
            </w:r>
          </w:p>
        </w:tc>
        <w:tc>
          <w:tcPr>
            <w:tcW w:w="2213"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广东省国土资源技术中心</w:t>
            </w:r>
          </w:p>
        </w:tc>
        <w:tc>
          <w:tcPr>
            <w:tcW w:w="826"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自主研究</w:t>
            </w:r>
          </w:p>
        </w:tc>
        <w:tc>
          <w:tcPr>
            <w:tcW w:w="1031" w:type="dxa"/>
            <w:tcBorders>
              <w:right w:val="single" w:color="000000" w:sz="6"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依托单位自主实施，不涉及资助经费。</w:t>
            </w:r>
          </w:p>
        </w:tc>
      </w:tr>
    </w:tbl>
    <w:p>
      <w:pPr>
        <w:pStyle w:val="2"/>
        <w:spacing w:line="360" w:lineRule="auto"/>
        <w:ind w:left="0" w:leftChars="0" w:firstLine="0" w:firstLineChars="0"/>
        <w:jc w:val="both"/>
        <w:rPr>
          <w:rFonts w:hint="eastAsia" w:ascii="Times New Roman" w:hAnsi="Times New Roman" w:eastAsia="仿宋_GB2312" w:cs="Times New Roman"/>
          <w:b w:val="0"/>
          <w:bCs w:val="0"/>
          <w:lang w:val="en-US" w:eastAsia="zh-CN"/>
        </w:rPr>
      </w:pP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xNDYxZTlkMzEzODUyZmMxNTVlYzU5MGJiM2U5YzAifQ=="/>
  </w:docVars>
  <w:rsids>
    <w:rsidRoot w:val="00000000"/>
    <w:rsid w:val="089D6761"/>
    <w:rsid w:val="08D86F1C"/>
    <w:rsid w:val="0A1026E6"/>
    <w:rsid w:val="0A3C078B"/>
    <w:rsid w:val="0A5473DE"/>
    <w:rsid w:val="0BCD6AE0"/>
    <w:rsid w:val="0CFC31C1"/>
    <w:rsid w:val="0D2E7931"/>
    <w:rsid w:val="11285175"/>
    <w:rsid w:val="11292A0B"/>
    <w:rsid w:val="11666610"/>
    <w:rsid w:val="12203590"/>
    <w:rsid w:val="127E7CB4"/>
    <w:rsid w:val="13826402"/>
    <w:rsid w:val="14CB202B"/>
    <w:rsid w:val="15436065"/>
    <w:rsid w:val="1BE35EAC"/>
    <w:rsid w:val="20A35C0A"/>
    <w:rsid w:val="20D236AA"/>
    <w:rsid w:val="216F6D82"/>
    <w:rsid w:val="2322236E"/>
    <w:rsid w:val="2E915DE4"/>
    <w:rsid w:val="2F154177"/>
    <w:rsid w:val="3076603D"/>
    <w:rsid w:val="343313EF"/>
    <w:rsid w:val="37E458FA"/>
    <w:rsid w:val="3B08159E"/>
    <w:rsid w:val="3B590718"/>
    <w:rsid w:val="3C3207DF"/>
    <w:rsid w:val="3D4C16AB"/>
    <w:rsid w:val="3E9926CE"/>
    <w:rsid w:val="3FD96C5D"/>
    <w:rsid w:val="3FEC2CD2"/>
    <w:rsid w:val="400D176C"/>
    <w:rsid w:val="442D4F56"/>
    <w:rsid w:val="48F838C7"/>
    <w:rsid w:val="49D61BFB"/>
    <w:rsid w:val="4A4A6067"/>
    <w:rsid w:val="4BDA4326"/>
    <w:rsid w:val="4D0478AD"/>
    <w:rsid w:val="4E047438"/>
    <w:rsid w:val="4F7C1F7D"/>
    <w:rsid w:val="54D51B2F"/>
    <w:rsid w:val="551E2CCC"/>
    <w:rsid w:val="570241E3"/>
    <w:rsid w:val="58711F28"/>
    <w:rsid w:val="5BDB3ECE"/>
    <w:rsid w:val="5EAA7B88"/>
    <w:rsid w:val="5EBD3D5F"/>
    <w:rsid w:val="5F497029"/>
    <w:rsid w:val="62DA0789"/>
    <w:rsid w:val="65EC0855"/>
    <w:rsid w:val="66E87583"/>
    <w:rsid w:val="67755B92"/>
    <w:rsid w:val="68577FEF"/>
    <w:rsid w:val="69E80924"/>
    <w:rsid w:val="6E5D327B"/>
    <w:rsid w:val="70966D37"/>
    <w:rsid w:val="72B6712F"/>
    <w:rsid w:val="744671F2"/>
    <w:rsid w:val="763B3388"/>
    <w:rsid w:val="778814A8"/>
    <w:rsid w:val="7AB15181"/>
    <w:rsid w:val="7ACE7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adjustRightInd w:val="0"/>
      <w:snapToGrid w:val="0"/>
      <w:spacing w:line="520" w:lineRule="exact"/>
      <w:ind w:firstLine="561" w:firstLineChars="200"/>
      <w:jc w:val="left"/>
    </w:pPr>
    <w:rPr>
      <w:sz w:val="28"/>
      <w:szCs w:val="32"/>
    </w:rPr>
  </w:style>
  <w:style w:type="paragraph" w:styleId="3">
    <w:name w:val="Body Text"/>
    <w:basedOn w:val="1"/>
    <w:qFormat/>
    <w:uiPriority w:val="1"/>
    <w:rPr>
      <w:rFonts w:ascii="仿宋" w:hAnsi="仿宋" w:eastAsia="仿宋" w:cs="仿宋"/>
      <w:sz w:val="32"/>
      <w:szCs w:val="32"/>
      <w:lang w:val="zh-CN" w:bidi="zh-CN"/>
    </w:rPr>
  </w:style>
  <w:style w:type="paragraph" w:styleId="4">
    <w:name w:val="toc 3"/>
    <w:basedOn w:val="1"/>
    <w:next w:val="1"/>
    <w:qFormat/>
    <w:uiPriority w:val="0"/>
    <w:pPr>
      <w:spacing w:line="500" w:lineRule="exact"/>
      <w:ind w:left="840" w:leftChars="400"/>
    </w:pPr>
    <w:rPr>
      <w:rFonts w:ascii="Times New Roman" w:hAnsi="Times New Roman" w:eastAsia="楷体"/>
      <w:sz w:val="28"/>
      <w:szCs w:val="28"/>
    </w:r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35</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2024-01-10T09:52:00Z</dcterms:created>
  <dc:creator>zxl</dc:creator>
  <cp:lastModifiedBy>xifan</cp:lastModifiedBy>
  <cp:lastPrinted>2025-02-11T08:43:00Z</cp:lastPrinted>
  <dcterms:modified xsi:type="dcterms:W3CDTF">2026-03-03T01:15:31Z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699EEFC428C64D09918AF427A917F28A</vt:lpwstr>
  </property>
</Properties>
</file>