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spacing w:before="0" w:beforeAutospacing="0" w:after="0" w:afterAutospacing="0" w:line="580" w:lineRule="exact"/>
        <w:ind w:left="0" w:right="0"/>
        <w:jc w:val="left"/>
        <w:rPr>
          <w:rFonts w:hint="default" w:ascii="Times New Roman" w:hAnsi="Times New Roman" w:eastAsia="方正黑体_GBK" w:cs="Times New Roman"/>
          <w:kern w:val="2"/>
          <w:sz w:val="32"/>
          <w:szCs w:val="32"/>
          <w:lang w:val="en-US" w:eastAsia="zh-CN" w:bidi="ar"/>
        </w:rPr>
      </w:pPr>
    </w:p>
    <w:p>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2</w:t>
      </w:r>
    </w:p>
    <w:p>
      <w:pPr>
        <w:jc w:val="center"/>
        <w:rPr>
          <w:rFonts w:hint="default" w:ascii="Times New Roman" w:hAnsi="Times New Roman" w:eastAsia="方正小标宋简体" w:cs="Times New Roman"/>
          <w:kern w:val="2"/>
          <w:sz w:val="36"/>
          <w:szCs w:val="36"/>
          <w:lang w:val="en-US" w:eastAsia="zh-CN" w:bidi="ar"/>
        </w:rPr>
      </w:pPr>
      <w:bookmarkStart w:id="0" w:name="_GoBack"/>
      <w:r>
        <w:rPr>
          <w:rFonts w:hint="default" w:ascii="Times New Roman" w:hAnsi="Times New Roman" w:eastAsia="方正小标宋简体" w:cs="Times New Roman"/>
          <w:kern w:val="2"/>
          <w:sz w:val="36"/>
          <w:szCs w:val="36"/>
          <w:lang w:val="en-US" w:eastAsia="zh-CN" w:bidi="ar"/>
        </w:rPr>
        <w:t>地质灾害防治单位资质申请单位信息</w:t>
      </w:r>
      <w:bookmarkEnd w:id="0"/>
    </w:p>
    <w:tbl>
      <w:tblPr>
        <w:tblStyle w:val="4"/>
        <w:tblpPr w:leftFromText="180" w:rightFromText="180" w:vertAnchor="text" w:horzAnchor="page" w:tblpX="1115" w:tblpY="609"/>
        <w:tblOverlap w:val="never"/>
        <w:tblW w:w="5572" w:type="pct"/>
        <w:tblInd w:w="0" w:type="dxa"/>
        <w:tblLayout w:type="fixed"/>
        <w:tblCellMar>
          <w:top w:w="0" w:type="dxa"/>
          <w:left w:w="0" w:type="dxa"/>
          <w:bottom w:w="0" w:type="dxa"/>
          <w:right w:w="0" w:type="dxa"/>
        </w:tblCellMar>
      </w:tblPr>
      <w:tblGrid>
        <w:gridCol w:w="558"/>
        <w:gridCol w:w="718"/>
        <w:gridCol w:w="1354"/>
        <w:gridCol w:w="774"/>
        <w:gridCol w:w="1368"/>
        <w:gridCol w:w="1196"/>
        <w:gridCol w:w="1367"/>
        <w:gridCol w:w="2140"/>
        <w:gridCol w:w="1699"/>
        <w:gridCol w:w="1478"/>
        <w:gridCol w:w="162"/>
        <w:gridCol w:w="1158"/>
        <w:gridCol w:w="802"/>
      </w:tblGrid>
      <w:tr>
        <w:tblPrEx>
          <w:tblCellMar>
            <w:top w:w="0" w:type="dxa"/>
            <w:left w:w="0" w:type="dxa"/>
            <w:bottom w:w="0" w:type="dxa"/>
            <w:right w:w="0" w:type="dxa"/>
          </w:tblCellMar>
        </w:tblPrEx>
        <w:trPr>
          <w:trHeight w:val="23" w:hRule="atLeast"/>
        </w:trPr>
        <w:tc>
          <w:tcPr>
            <w:tcW w:w="431" w:type="pct"/>
            <w:gridSpan w:val="2"/>
            <w:vMerge w:val="restart"/>
            <w:tcBorders>
              <w:top w:val="single" w:color="000000" w:sz="8" w:space="0"/>
              <w:left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r>
              <w:rPr>
                <w:rFonts w:hint="default" w:ascii="Times New Roman" w:hAnsi="Times New Roman" w:cs="Times New Roman"/>
                <w:b/>
                <w:sz w:val="18"/>
                <w:szCs w:val="18"/>
              </w:rPr>
              <w:t>资质申请信息</w:t>
            </w:r>
          </w:p>
        </w:tc>
        <w:tc>
          <w:tcPr>
            <w:tcW w:w="458"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tabs>
                <w:tab w:val="left" w:pos="255"/>
              </w:tabs>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default" w:ascii="Times New Roman" w:hAnsi="Times New Roman" w:cs="Times New Roman"/>
                <w:b/>
                <w:bCs w:val="0"/>
                <w:spacing w:val="2"/>
                <w:sz w:val="18"/>
                <w:szCs w:val="18"/>
              </w:rPr>
            </w:pPr>
            <w:r>
              <w:rPr>
                <w:rFonts w:hint="default" w:ascii="Times New Roman" w:hAnsi="Times New Roman" w:cs="Times New Roman"/>
                <w:b/>
                <w:bCs w:val="0"/>
                <w:spacing w:val="2"/>
                <w:sz w:val="18"/>
                <w:szCs w:val="18"/>
              </w:rPr>
              <w:t>单位名称</w:t>
            </w:r>
          </w:p>
        </w:tc>
        <w:tc>
          <w:tcPr>
            <w:tcW w:w="4110" w:type="pct"/>
            <w:gridSpan w:val="10"/>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rPr>
            </w:pPr>
            <w:r>
              <w:rPr>
                <w:rFonts w:hint="default"/>
                <w:bCs/>
                <w:sz w:val="18"/>
                <w:szCs w:val="18"/>
              </w:rPr>
              <w:t>广东省水利电力勘测设计研究院</w:t>
            </w:r>
            <w:r>
              <w:rPr>
                <w:rFonts w:hint="eastAsia"/>
                <w:bCs/>
                <w:sz w:val="18"/>
                <w:szCs w:val="18"/>
                <w:lang w:val="en-US" w:eastAsia="zh-CN"/>
              </w:rPr>
              <w:t>股份</w:t>
            </w:r>
            <w:r>
              <w:rPr>
                <w:rFonts w:hint="default"/>
                <w:bCs/>
                <w:sz w:val="18"/>
                <w:szCs w:val="18"/>
              </w:rPr>
              <w:t>有限公司</w:t>
            </w:r>
          </w:p>
        </w:tc>
      </w:tr>
      <w:tr>
        <w:tblPrEx>
          <w:tblCellMar>
            <w:top w:w="0" w:type="dxa"/>
            <w:left w:w="0" w:type="dxa"/>
            <w:bottom w:w="0" w:type="dxa"/>
            <w:right w:w="0" w:type="dxa"/>
          </w:tblCellMar>
        </w:tblPrEx>
        <w:trPr>
          <w:trHeight w:val="23" w:hRule="atLeast"/>
        </w:trPr>
        <w:tc>
          <w:tcPr>
            <w:tcW w:w="431" w:type="pct"/>
            <w:gridSpan w:val="2"/>
            <w:vMerge w:val="continue"/>
            <w:tcBorders>
              <w:left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p>
        </w:tc>
        <w:tc>
          <w:tcPr>
            <w:tcW w:w="458"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default" w:ascii="Times New Roman" w:hAnsi="Times New Roman" w:cs="Times New Roman"/>
                <w:b/>
                <w:bCs w:val="0"/>
                <w:spacing w:val="2"/>
                <w:sz w:val="18"/>
                <w:szCs w:val="18"/>
              </w:rPr>
            </w:pPr>
            <w:r>
              <w:rPr>
                <w:rFonts w:hint="default" w:ascii="Times New Roman" w:hAnsi="Times New Roman" w:cs="Times New Roman"/>
                <w:b/>
                <w:bCs w:val="0"/>
                <w:spacing w:val="2"/>
                <w:sz w:val="18"/>
                <w:szCs w:val="18"/>
              </w:rPr>
              <w:t>资质类别</w:t>
            </w:r>
          </w:p>
        </w:tc>
        <w:tc>
          <w:tcPr>
            <w:tcW w:w="2316" w:type="pct"/>
            <w:gridSpan w:val="5"/>
            <w:tcBorders>
              <w:top w:val="single" w:color="000000" w:sz="8" w:space="0"/>
              <w:left w:val="single" w:color="000000" w:sz="8" w:space="0"/>
              <w:bottom w:val="single" w:color="000000" w:sz="8"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lang w:val="en-US" w:eastAsia="zh-CN"/>
              </w:rPr>
            </w:pPr>
            <w:r>
              <w:rPr>
                <w:rFonts w:hint="eastAsia" w:asciiTheme="minorEastAsia" w:hAnsiTheme="minorEastAsia" w:eastAsiaTheme="minorEastAsia" w:cstheme="minorEastAsia"/>
                <w:bCs/>
                <w:sz w:val="18"/>
                <w:szCs w:val="18"/>
              </w:rPr>
              <w:t>地质灾害</w:t>
            </w:r>
            <w:r>
              <w:rPr>
                <w:rFonts w:hint="eastAsia" w:asciiTheme="minorEastAsia" w:hAnsiTheme="minorEastAsia" w:eastAsiaTheme="minorEastAsia" w:cstheme="minorEastAsia"/>
                <w:bCs/>
                <w:sz w:val="18"/>
                <w:szCs w:val="18"/>
                <w:lang w:val="en-US" w:eastAsia="zh-CN"/>
              </w:rPr>
              <w:t>评估和</w:t>
            </w:r>
            <w:r>
              <w:rPr>
                <w:rFonts w:hint="eastAsia" w:asciiTheme="minorEastAsia" w:hAnsiTheme="minorEastAsia" w:eastAsiaTheme="minorEastAsia" w:cstheme="minorEastAsia"/>
                <w:bCs/>
                <w:sz w:val="18"/>
                <w:szCs w:val="18"/>
              </w:rPr>
              <w:t>治理工程</w:t>
            </w:r>
            <w:r>
              <w:rPr>
                <w:rFonts w:hint="eastAsia" w:asciiTheme="minorEastAsia" w:hAnsiTheme="minorEastAsia" w:eastAsiaTheme="minorEastAsia" w:cstheme="minorEastAsia"/>
                <w:bCs/>
                <w:sz w:val="18"/>
                <w:szCs w:val="18"/>
                <w:lang w:val="en-US" w:eastAsia="zh-CN"/>
              </w:rPr>
              <w:t>勘查设计</w:t>
            </w:r>
          </w:p>
        </w:tc>
        <w:tc>
          <w:tcPr>
            <w:tcW w:w="575" w:type="pct"/>
            <w:tcBorders>
              <w:top w:val="single" w:color="000000" w:sz="8" w:space="0"/>
              <w:left w:val="single" w:color="auto" w:sz="4" w:space="0"/>
              <w:bottom w:val="single" w:color="000000" w:sz="8"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pacing w:val="2"/>
                <w:sz w:val="18"/>
                <w:szCs w:val="18"/>
              </w:rPr>
            </w:pPr>
            <w:r>
              <w:rPr>
                <w:rFonts w:hint="eastAsia" w:asciiTheme="minorEastAsia" w:hAnsiTheme="minorEastAsia" w:eastAsiaTheme="minorEastAsia" w:cstheme="minorEastAsia"/>
                <w:b/>
                <w:spacing w:val="2"/>
                <w:sz w:val="18"/>
                <w:szCs w:val="18"/>
              </w:rPr>
              <w:t>资质等级</w:t>
            </w:r>
          </w:p>
        </w:tc>
        <w:tc>
          <w:tcPr>
            <w:tcW w:w="1218" w:type="pct"/>
            <w:gridSpan w:val="4"/>
            <w:tcBorders>
              <w:top w:val="single" w:color="000000" w:sz="8" w:space="0"/>
              <w:left w:val="single" w:color="auto" w:sz="4"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甲级</w:t>
            </w:r>
          </w:p>
        </w:tc>
      </w:tr>
      <w:tr>
        <w:tblPrEx>
          <w:tblCellMar>
            <w:top w:w="0" w:type="dxa"/>
            <w:left w:w="0" w:type="dxa"/>
            <w:bottom w:w="0" w:type="dxa"/>
            <w:right w:w="0" w:type="dxa"/>
          </w:tblCellMar>
        </w:tblPrEx>
        <w:trPr>
          <w:trHeight w:val="23" w:hRule="atLeast"/>
        </w:trPr>
        <w:tc>
          <w:tcPr>
            <w:tcW w:w="431" w:type="pct"/>
            <w:gridSpan w:val="2"/>
            <w:vMerge w:val="continue"/>
            <w:tcBorders>
              <w:left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p>
        </w:tc>
        <w:tc>
          <w:tcPr>
            <w:tcW w:w="458"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default" w:ascii="Times New Roman" w:hAnsi="Times New Roman" w:cs="Times New Roman"/>
                <w:bCs/>
                <w:sz w:val="18"/>
                <w:szCs w:val="18"/>
              </w:rPr>
            </w:pPr>
            <w:r>
              <w:rPr>
                <w:rFonts w:hint="default" w:ascii="Times New Roman" w:hAnsi="Times New Roman" w:cs="Times New Roman"/>
                <w:b/>
                <w:bCs w:val="0"/>
                <w:spacing w:val="2"/>
                <w:sz w:val="18"/>
                <w:szCs w:val="18"/>
              </w:rPr>
              <w:t>单位性质</w:t>
            </w:r>
          </w:p>
        </w:tc>
        <w:tc>
          <w:tcPr>
            <w:tcW w:w="724" w:type="pct"/>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rPr>
            </w:pPr>
            <w:r>
              <w:rPr>
                <w:rFonts w:hint="eastAsia" w:asciiTheme="minorEastAsia" w:hAnsiTheme="minorEastAsia" w:cstheme="minorEastAsia"/>
                <w:bCs/>
                <w:sz w:val="18"/>
                <w:szCs w:val="18"/>
                <w:lang w:val="en-US" w:eastAsia="zh-CN"/>
              </w:rPr>
              <w:t>企业</w:t>
            </w:r>
            <w:r>
              <w:rPr>
                <w:rFonts w:hint="eastAsia" w:asciiTheme="minorEastAsia" w:hAnsiTheme="minorEastAsia" w:eastAsiaTheme="minorEastAsia" w:cstheme="minorEastAsia"/>
                <w:bCs/>
                <w:sz w:val="18"/>
                <w:szCs w:val="18"/>
                <w:lang w:eastAsia="zh-CN"/>
              </w:rPr>
              <w:t>单位</w:t>
            </w:r>
          </w:p>
        </w:tc>
        <w:tc>
          <w:tcPr>
            <w:tcW w:w="867" w:type="pct"/>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rPr>
            </w:pPr>
            <w:r>
              <w:rPr>
                <w:rFonts w:hint="eastAsia" w:asciiTheme="minorEastAsia" w:hAnsiTheme="minorEastAsia" w:eastAsiaTheme="minorEastAsia" w:cstheme="minorEastAsia"/>
                <w:b/>
                <w:spacing w:val="2"/>
                <w:sz w:val="18"/>
                <w:szCs w:val="18"/>
              </w:rPr>
              <w:t>所属行政区</w:t>
            </w:r>
          </w:p>
        </w:tc>
        <w:tc>
          <w:tcPr>
            <w:tcW w:w="724"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lang w:val="en-US" w:eastAsia="zh-CN"/>
              </w:rPr>
              <w:t>广东省广州市</w:t>
            </w:r>
          </w:p>
        </w:tc>
        <w:tc>
          <w:tcPr>
            <w:tcW w:w="575"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rPr>
            </w:pPr>
            <w:r>
              <w:rPr>
                <w:rFonts w:hint="eastAsia" w:asciiTheme="minorEastAsia" w:hAnsiTheme="minorEastAsia" w:eastAsiaTheme="minorEastAsia" w:cstheme="minorEastAsia"/>
                <w:b/>
                <w:spacing w:val="2"/>
                <w:sz w:val="18"/>
                <w:szCs w:val="18"/>
              </w:rPr>
              <w:t>统一社会信用代码</w:t>
            </w:r>
          </w:p>
        </w:tc>
        <w:tc>
          <w:tcPr>
            <w:tcW w:w="1218" w:type="pct"/>
            <w:gridSpan w:val="4"/>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rPr>
            </w:pPr>
            <w:r>
              <w:rPr>
                <w:rFonts w:hint="eastAsia"/>
                <w:bCs/>
                <w:sz w:val="21"/>
                <w:szCs w:val="21"/>
              </w:rPr>
              <w:t>914400004558581340</w:t>
            </w:r>
          </w:p>
        </w:tc>
      </w:tr>
      <w:tr>
        <w:tblPrEx>
          <w:tblCellMar>
            <w:top w:w="0" w:type="dxa"/>
            <w:left w:w="0" w:type="dxa"/>
            <w:bottom w:w="0" w:type="dxa"/>
            <w:right w:w="0" w:type="dxa"/>
          </w:tblCellMar>
        </w:tblPrEx>
        <w:trPr>
          <w:trHeight w:val="23" w:hRule="atLeast"/>
        </w:trPr>
        <w:tc>
          <w:tcPr>
            <w:tcW w:w="431" w:type="pct"/>
            <w:gridSpan w:val="2"/>
            <w:vMerge w:val="restart"/>
            <w:tcBorders>
              <w:top w:val="single" w:color="000000" w:sz="8" w:space="0"/>
              <w:left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r>
              <w:rPr>
                <w:rFonts w:hint="default" w:ascii="Times New Roman" w:hAnsi="Times New Roman" w:cs="Times New Roman"/>
                <w:b/>
                <w:sz w:val="18"/>
                <w:szCs w:val="18"/>
              </w:rPr>
              <w:t>专业技术人员</w:t>
            </w:r>
          </w:p>
        </w:tc>
        <w:tc>
          <w:tcPr>
            <w:tcW w:w="1183" w:type="pct"/>
            <w:gridSpan w:val="3"/>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z w:val="18"/>
                <w:szCs w:val="18"/>
                <w:lang w:val="en-US" w:eastAsia="zh-CN" w:bidi="ar-SA"/>
              </w:rPr>
            </w:pPr>
            <w:r>
              <w:rPr>
                <w:rFonts w:hint="eastAsia" w:asciiTheme="minorEastAsia" w:hAnsiTheme="minorEastAsia" w:eastAsiaTheme="minorEastAsia" w:cstheme="minorEastAsia"/>
                <w:b/>
                <w:sz w:val="18"/>
                <w:szCs w:val="18"/>
                <w:lang w:val="en-US" w:eastAsia="zh-CN" w:bidi="ar-SA"/>
              </w:rPr>
              <w:t>专业类别</w:t>
            </w:r>
          </w:p>
        </w:tc>
        <w:tc>
          <w:tcPr>
            <w:tcW w:w="867" w:type="pct"/>
            <w:gridSpan w:val="2"/>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z w:val="18"/>
                <w:szCs w:val="18"/>
                <w:lang w:val="en-US" w:eastAsia="zh-CN" w:bidi="ar-SA"/>
              </w:rPr>
            </w:pPr>
            <w:r>
              <w:rPr>
                <w:rFonts w:hint="eastAsia" w:asciiTheme="minorEastAsia" w:hAnsiTheme="minorEastAsia" w:eastAsiaTheme="minorEastAsia" w:cstheme="minorEastAsia"/>
                <w:b/>
                <w:sz w:val="18"/>
                <w:szCs w:val="18"/>
                <w:lang w:val="en-US" w:eastAsia="zh-CN" w:bidi="ar-SA"/>
              </w:rPr>
              <w:t>高级（人）</w:t>
            </w:r>
          </w:p>
        </w:tc>
        <w:tc>
          <w:tcPr>
            <w:tcW w:w="724" w:type="pct"/>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z w:val="18"/>
                <w:szCs w:val="18"/>
                <w:lang w:val="en-US" w:eastAsia="zh-CN" w:bidi="ar-SA"/>
              </w:rPr>
            </w:pPr>
            <w:r>
              <w:rPr>
                <w:rFonts w:hint="eastAsia" w:asciiTheme="minorEastAsia" w:hAnsiTheme="minorEastAsia" w:eastAsiaTheme="minorEastAsia" w:cstheme="minorEastAsia"/>
                <w:b/>
                <w:sz w:val="18"/>
                <w:szCs w:val="18"/>
                <w:lang w:val="en-US" w:eastAsia="zh-CN" w:bidi="ar-SA"/>
              </w:rPr>
              <w:t>中级（人）</w:t>
            </w:r>
          </w:p>
        </w:tc>
        <w:tc>
          <w:tcPr>
            <w:tcW w:w="575" w:type="pct"/>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z w:val="18"/>
                <w:szCs w:val="18"/>
                <w:lang w:val="en-US" w:eastAsia="zh-CN" w:bidi="ar-SA"/>
              </w:rPr>
            </w:pPr>
            <w:r>
              <w:rPr>
                <w:rFonts w:hint="eastAsia" w:asciiTheme="minorEastAsia" w:hAnsiTheme="minorEastAsia" w:eastAsiaTheme="minorEastAsia" w:cstheme="minorEastAsia"/>
                <w:b/>
                <w:sz w:val="18"/>
                <w:szCs w:val="18"/>
                <w:lang w:val="en-US" w:eastAsia="zh-CN" w:bidi="ar-SA"/>
              </w:rPr>
              <w:t>初级(人)</w:t>
            </w:r>
          </w:p>
        </w:tc>
        <w:tc>
          <w:tcPr>
            <w:tcW w:w="500" w:type="pct"/>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z w:val="18"/>
                <w:szCs w:val="18"/>
                <w:lang w:val="en-US" w:eastAsia="zh-CN" w:bidi="ar-SA"/>
              </w:rPr>
            </w:pPr>
            <w:r>
              <w:rPr>
                <w:rFonts w:hint="eastAsia" w:asciiTheme="minorEastAsia" w:hAnsiTheme="minorEastAsia" w:eastAsiaTheme="minorEastAsia" w:cstheme="minorEastAsia"/>
                <w:b/>
                <w:sz w:val="18"/>
                <w:szCs w:val="18"/>
                <w:lang w:val="en-US" w:eastAsia="zh-CN" w:bidi="ar-SA"/>
              </w:rPr>
              <w:t>其他(人)</w:t>
            </w:r>
          </w:p>
        </w:tc>
        <w:tc>
          <w:tcPr>
            <w:tcW w:w="718" w:type="pct"/>
            <w:gridSpan w:val="3"/>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z w:val="18"/>
                <w:szCs w:val="18"/>
                <w:lang w:val="en-US" w:eastAsia="zh-CN" w:bidi="ar-SA"/>
              </w:rPr>
            </w:pPr>
            <w:r>
              <w:rPr>
                <w:rFonts w:hint="eastAsia" w:asciiTheme="minorEastAsia" w:hAnsiTheme="minorEastAsia" w:eastAsiaTheme="minorEastAsia" w:cstheme="minorEastAsia"/>
                <w:b/>
                <w:sz w:val="18"/>
                <w:szCs w:val="18"/>
                <w:lang w:val="en-US" w:eastAsia="zh-CN" w:bidi="ar-SA"/>
              </w:rPr>
              <w:t>合计(人)</w:t>
            </w:r>
          </w:p>
        </w:tc>
      </w:tr>
      <w:tr>
        <w:tblPrEx>
          <w:tblCellMar>
            <w:top w:w="0" w:type="dxa"/>
            <w:left w:w="0" w:type="dxa"/>
            <w:bottom w:w="0" w:type="dxa"/>
            <w:right w:w="0" w:type="dxa"/>
          </w:tblCellMar>
        </w:tblPrEx>
        <w:trPr>
          <w:trHeight w:val="23" w:hRule="atLeast"/>
        </w:trPr>
        <w:tc>
          <w:tcPr>
            <w:tcW w:w="431" w:type="pct"/>
            <w:gridSpan w:val="2"/>
            <w:vMerge w:val="continue"/>
            <w:tcBorders>
              <w:left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p>
        </w:tc>
        <w:tc>
          <w:tcPr>
            <w:tcW w:w="1183" w:type="pct"/>
            <w:gridSpan w:val="3"/>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z w:val="18"/>
                <w:szCs w:val="18"/>
                <w:lang w:val="en-US" w:eastAsia="zh-CN" w:bidi="ar-SA"/>
              </w:rPr>
            </w:pPr>
            <w:r>
              <w:rPr>
                <w:rFonts w:hint="eastAsia" w:asciiTheme="minorEastAsia" w:hAnsiTheme="minorEastAsia" w:eastAsiaTheme="minorEastAsia" w:cstheme="minorEastAsia"/>
                <w:b/>
                <w:sz w:val="18"/>
                <w:szCs w:val="18"/>
                <w:lang w:val="en-US" w:eastAsia="zh-CN" w:bidi="ar-SA"/>
              </w:rPr>
              <w:t>资源与环境类相关</w:t>
            </w:r>
          </w:p>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z w:val="18"/>
                <w:szCs w:val="18"/>
                <w:lang w:val="en-US" w:eastAsia="zh-CN" w:bidi="ar-SA"/>
              </w:rPr>
            </w:pPr>
            <w:r>
              <w:rPr>
                <w:rFonts w:hint="eastAsia" w:asciiTheme="minorEastAsia" w:hAnsiTheme="minorEastAsia" w:eastAsiaTheme="minorEastAsia" w:cstheme="minorEastAsia"/>
                <w:b/>
                <w:sz w:val="18"/>
                <w:szCs w:val="18"/>
                <w:lang w:val="en-US" w:eastAsia="zh-CN" w:bidi="ar-SA"/>
              </w:rPr>
              <w:t>专业技术人员(人)</w:t>
            </w:r>
          </w:p>
        </w:tc>
        <w:tc>
          <w:tcPr>
            <w:tcW w:w="867" w:type="pct"/>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Cs/>
                <w:sz w:val="18"/>
                <w:szCs w:val="18"/>
                <w:lang w:val="en-US" w:eastAsia="zh-CN"/>
              </w:rPr>
            </w:pPr>
            <w:r>
              <w:rPr>
                <w:rFonts w:hint="eastAsia" w:ascii="宋体"/>
                <w:bCs/>
                <w:sz w:val="21"/>
                <w:szCs w:val="21"/>
                <w:lang w:val="en-US" w:eastAsia="zh-CN"/>
              </w:rPr>
              <w:t>5</w:t>
            </w:r>
          </w:p>
        </w:tc>
        <w:tc>
          <w:tcPr>
            <w:tcW w:w="724"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Cs/>
                <w:sz w:val="18"/>
                <w:szCs w:val="18"/>
                <w:lang w:val="en-US" w:eastAsia="zh-CN"/>
              </w:rPr>
            </w:pPr>
            <w:r>
              <w:rPr>
                <w:rFonts w:hint="eastAsia" w:ascii="宋体"/>
                <w:bCs/>
                <w:sz w:val="21"/>
                <w:szCs w:val="21"/>
                <w:lang w:val="en-US" w:eastAsia="zh-CN"/>
              </w:rPr>
              <w:t>0</w:t>
            </w:r>
          </w:p>
        </w:tc>
        <w:tc>
          <w:tcPr>
            <w:tcW w:w="575"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lang w:val="en-US" w:eastAsia="zh-CN"/>
              </w:rPr>
            </w:pPr>
            <w:r>
              <w:rPr>
                <w:rFonts w:hint="eastAsia" w:asciiTheme="minorEastAsia" w:hAnsiTheme="minorEastAsia" w:cstheme="minorEastAsia"/>
                <w:bCs/>
                <w:sz w:val="18"/>
                <w:szCs w:val="18"/>
                <w:lang w:val="en-US" w:eastAsia="zh-CN"/>
              </w:rPr>
              <w:t>0</w:t>
            </w:r>
          </w:p>
        </w:tc>
        <w:tc>
          <w:tcPr>
            <w:tcW w:w="50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lang w:val="en-US" w:eastAsia="zh-CN"/>
              </w:rPr>
            </w:pPr>
            <w:r>
              <w:rPr>
                <w:rFonts w:hint="eastAsia" w:asciiTheme="minorEastAsia" w:hAnsiTheme="minorEastAsia" w:cstheme="minorEastAsia"/>
                <w:bCs/>
                <w:color w:val="auto"/>
                <w:sz w:val="18"/>
                <w:szCs w:val="18"/>
                <w:lang w:val="en-US" w:eastAsia="zh-CN"/>
              </w:rPr>
              <w:t>0</w:t>
            </w:r>
          </w:p>
        </w:tc>
        <w:tc>
          <w:tcPr>
            <w:tcW w:w="718" w:type="pct"/>
            <w:gridSpan w:val="3"/>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Cs/>
                <w:sz w:val="18"/>
                <w:szCs w:val="18"/>
                <w:lang w:val="en-US" w:eastAsia="zh-CN"/>
              </w:rPr>
            </w:pPr>
            <w:r>
              <w:rPr>
                <w:rFonts w:hint="eastAsia" w:ascii="宋体" w:hAnsi="Times New Roman" w:eastAsia="宋体" w:cs="Times New Roman"/>
                <w:bCs/>
                <w:sz w:val="21"/>
                <w:szCs w:val="21"/>
                <w:lang w:val="en-US" w:eastAsia="zh-CN"/>
              </w:rPr>
              <w:t>5</w:t>
            </w:r>
          </w:p>
        </w:tc>
      </w:tr>
      <w:tr>
        <w:tblPrEx>
          <w:tblCellMar>
            <w:top w:w="0" w:type="dxa"/>
            <w:left w:w="0" w:type="dxa"/>
            <w:bottom w:w="0" w:type="dxa"/>
            <w:right w:w="0" w:type="dxa"/>
          </w:tblCellMar>
        </w:tblPrEx>
        <w:trPr>
          <w:trHeight w:val="23" w:hRule="atLeast"/>
        </w:trPr>
        <w:tc>
          <w:tcPr>
            <w:tcW w:w="431" w:type="pct"/>
            <w:gridSpan w:val="2"/>
            <w:vMerge w:val="continue"/>
            <w:tcBorders>
              <w:left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p>
        </w:tc>
        <w:tc>
          <w:tcPr>
            <w:tcW w:w="1183" w:type="pct"/>
            <w:gridSpan w:val="3"/>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z w:val="18"/>
                <w:szCs w:val="18"/>
                <w:lang w:val="en-US" w:eastAsia="zh-CN" w:bidi="ar-SA"/>
              </w:rPr>
            </w:pPr>
            <w:r>
              <w:rPr>
                <w:rFonts w:hint="eastAsia" w:asciiTheme="minorEastAsia" w:hAnsiTheme="minorEastAsia" w:eastAsiaTheme="minorEastAsia" w:cstheme="minorEastAsia"/>
                <w:b/>
                <w:sz w:val="18"/>
                <w:szCs w:val="18"/>
                <w:lang w:val="en-US" w:eastAsia="zh-CN" w:bidi="ar-SA"/>
              </w:rPr>
              <w:t>土木水利类相关</w:t>
            </w:r>
          </w:p>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
                <w:sz w:val="18"/>
                <w:szCs w:val="18"/>
                <w:lang w:val="en-US" w:eastAsia="zh-CN" w:bidi="ar-SA"/>
              </w:rPr>
            </w:pPr>
            <w:r>
              <w:rPr>
                <w:rFonts w:hint="eastAsia" w:asciiTheme="minorEastAsia" w:hAnsiTheme="minorEastAsia" w:eastAsiaTheme="minorEastAsia" w:cstheme="minorEastAsia"/>
                <w:b/>
                <w:sz w:val="18"/>
                <w:szCs w:val="18"/>
                <w:lang w:val="en-US" w:eastAsia="zh-CN" w:bidi="ar-SA"/>
              </w:rPr>
              <w:t>专业技术人员(人)</w:t>
            </w:r>
          </w:p>
        </w:tc>
        <w:tc>
          <w:tcPr>
            <w:tcW w:w="867" w:type="pct"/>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Cs/>
                <w:sz w:val="18"/>
                <w:szCs w:val="18"/>
                <w:lang w:val="en-US" w:eastAsia="zh-CN"/>
              </w:rPr>
            </w:pPr>
            <w:r>
              <w:rPr>
                <w:rFonts w:hint="eastAsia" w:ascii="宋体"/>
                <w:bCs/>
                <w:sz w:val="21"/>
                <w:szCs w:val="21"/>
                <w:lang w:val="en-US" w:eastAsia="zh-CN"/>
              </w:rPr>
              <w:t>31</w:t>
            </w:r>
          </w:p>
        </w:tc>
        <w:tc>
          <w:tcPr>
            <w:tcW w:w="724"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Cs/>
                <w:sz w:val="18"/>
                <w:szCs w:val="18"/>
                <w:lang w:val="en-US" w:eastAsia="zh-CN"/>
              </w:rPr>
            </w:pPr>
            <w:r>
              <w:rPr>
                <w:rFonts w:hint="eastAsia" w:ascii="宋体"/>
                <w:bCs/>
                <w:sz w:val="21"/>
                <w:szCs w:val="21"/>
                <w:lang w:val="en-US" w:eastAsia="zh-CN"/>
              </w:rPr>
              <w:t>19</w:t>
            </w:r>
          </w:p>
        </w:tc>
        <w:tc>
          <w:tcPr>
            <w:tcW w:w="575"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260" w:lineRule="exact"/>
              <w:ind w:left="0" w:right="0"/>
              <w:jc w:val="center"/>
              <w:textAlignment w:val="auto"/>
              <w:rPr>
                <w:rFonts w:hint="eastAsia" w:asciiTheme="minorEastAsia" w:hAnsiTheme="minorEastAsia" w:eastAsiaTheme="minorEastAsia" w:cstheme="minorEastAsia"/>
                <w:bCs/>
                <w:sz w:val="18"/>
                <w:szCs w:val="18"/>
                <w:lang w:val="en-US" w:eastAsia="zh-CN"/>
              </w:rPr>
            </w:pPr>
            <w:r>
              <w:rPr>
                <w:rFonts w:hint="eastAsia" w:asciiTheme="minorEastAsia" w:hAnsiTheme="minorEastAsia" w:cstheme="minorEastAsia"/>
                <w:bCs/>
                <w:sz w:val="18"/>
                <w:szCs w:val="18"/>
                <w:lang w:val="en-US" w:eastAsia="zh-CN"/>
              </w:rPr>
              <w:t>0</w:t>
            </w:r>
          </w:p>
        </w:tc>
        <w:tc>
          <w:tcPr>
            <w:tcW w:w="50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260" w:lineRule="exact"/>
              <w:ind w:left="0" w:right="0"/>
              <w:jc w:val="center"/>
              <w:textAlignment w:val="auto"/>
              <w:rPr>
                <w:rFonts w:hint="default" w:asciiTheme="minorEastAsia" w:hAnsiTheme="minorEastAsia" w:eastAsiaTheme="minorEastAsia" w:cstheme="minorEastAsia"/>
                <w:bCs/>
                <w:sz w:val="18"/>
                <w:szCs w:val="18"/>
                <w:lang w:val="en-US" w:eastAsia="zh-CN"/>
              </w:rPr>
            </w:pPr>
            <w:r>
              <w:rPr>
                <w:rFonts w:hint="eastAsia" w:asciiTheme="minorEastAsia" w:hAnsiTheme="minorEastAsia" w:cstheme="minorEastAsia"/>
                <w:bCs/>
                <w:color w:val="auto"/>
                <w:sz w:val="18"/>
                <w:szCs w:val="18"/>
                <w:lang w:val="en-US" w:eastAsia="zh-CN"/>
              </w:rPr>
              <w:t>0</w:t>
            </w:r>
          </w:p>
        </w:tc>
        <w:tc>
          <w:tcPr>
            <w:tcW w:w="718" w:type="pct"/>
            <w:gridSpan w:val="3"/>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Cs/>
                <w:sz w:val="18"/>
                <w:szCs w:val="18"/>
                <w:lang w:val="en-US" w:eastAsia="zh-CN"/>
              </w:rPr>
            </w:pPr>
            <w:r>
              <w:rPr>
                <w:rFonts w:hint="eastAsia" w:ascii="宋体" w:hAnsi="Times New Roman" w:eastAsia="宋体" w:cs="Times New Roman"/>
                <w:bCs/>
                <w:sz w:val="21"/>
                <w:szCs w:val="21"/>
                <w:lang w:val="en-US" w:eastAsia="zh-CN"/>
              </w:rPr>
              <w:t>50</w:t>
            </w:r>
          </w:p>
        </w:tc>
      </w:tr>
      <w:tr>
        <w:tblPrEx>
          <w:tblCellMar>
            <w:top w:w="0" w:type="dxa"/>
            <w:left w:w="0" w:type="dxa"/>
            <w:bottom w:w="0" w:type="dxa"/>
            <w:right w:w="0" w:type="dxa"/>
          </w:tblCellMar>
        </w:tblPrEx>
        <w:trPr>
          <w:trHeight w:val="23" w:hRule="atLeast"/>
        </w:trPr>
        <w:tc>
          <w:tcPr>
            <w:tcW w:w="431" w:type="pct"/>
            <w:gridSpan w:val="2"/>
            <w:vMerge w:val="continue"/>
            <w:tcBorders>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p>
        </w:tc>
        <w:tc>
          <w:tcPr>
            <w:tcW w:w="1183" w:type="pct"/>
            <w:gridSpan w:val="3"/>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2"/>
              <w:jc w:val="center"/>
              <w:textAlignment w:val="auto"/>
              <w:rPr>
                <w:rFonts w:hint="eastAsia" w:asciiTheme="minorEastAsia" w:hAnsiTheme="minorEastAsia" w:eastAsiaTheme="minorEastAsia" w:cstheme="minorEastAsia"/>
                <w:b/>
                <w:bCs w:val="0"/>
                <w:spacing w:val="2"/>
                <w:w w:val="110"/>
                <w:sz w:val="18"/>
                <w:szCs w:val="18"/>
              </w:rPr>
            </w:pPr>
            <w:r>
              <w:rPr>
                <w:rFonts w:hint="eastAsia" w:asciiTheme="minorEastAsia" w:hAnsiTheme="minorEastAsia" w:eastAsiaTheme="minorEastAsia" w:cstheme="minorEastAsia"/>
                <w:b/>
                <w:bCs w:val="0"/>
                <w:spacing w:val="2"/>
                <w:w w:val="110"/>
                <w:sz w:val="18"/>
                <w:szCs w:val="18"/>
              </w:rPr>
              <w:t>合计(人</w:t>
            </w:r>
            <w:r>
              <w:rPr>
                <w:rFonts w:hint="eastAsia" w:asciiTheme="minorEastAsia" w:hAnsiTheme="minorEastAsia" w:eastAsiaTheme="minorEastAsia" w:cstheme="minorEastAsia"/>
                <w:b/>
                <w:bCs w:val="0"/>
                <w:w w:val="110"/>
                <w:sz w:val="18"/>
                <w:szCs w:val="18"/>
              </w:rPr>
              <w:t>)</w:t>
            </w:r>
          </w:p>
        </w:tc>
        <w:tc>
          <w:tcPr>
            <w:tcW w:w="867" w:type="pct"/>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Cs/>
                <w:sz w:val="18"/>
                <w:szCs w:val="18"/>
                <w:lang w:val="en-US" w:eastAsia="zh-CN"/>
              </w:rPr>
            </w:pPr>
            <w:r>
              <w:rPr>
                <w:rFonts w:hint="eastAsia" w:ascii="宋体" w:eastAsia="宋体"/>
                <w:bCs/>
                <w:sz w:val="21"/>
                <w:szCs w:val="21"/>
                <w:lang w:val="en-US" w:eastAsia="zh-CN"/>
              </w:rPr>
              <w:t>36</w:t>
            </w:r>
          </w:p>
        </w:tc>
        <w:tc>
          <w:tcPr>
            <w:tcW w:w="724"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Cs/>
                <w:sz w:val="18"/>
                <w:szCs w:val="18"/>
                <w:lang w:val="en-US" w:eastAsia="zh-CN"/>
              </w:rPr>
            </w:pPr>
            <w:r>
              <w:rPr>
                <w:rFonts w:hint="eastAsia" w:ascii="宋体" w:eastAsia="宋体"/>
                <w:bCs/>
                <w:sz w:val="21"/>
                <w:szCs w:val="21"/>
                <w:lang w:val="en-US" w:eastAsia="zh-CN"/>
              </w:rPr>
              <w:t>19</w:t>
            </w:r>
          </w:p>
        </w:tc>
        <w:tc>
          <w:tcPr>
            <w:tcW w:w="575"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Cs/>
                <w:sz w:val="18"/>
                <w:szCs w:val="18"/>
                <w:lang w:val="en-US" w:eastAsia="zh-CN"/>
              </w:rPr>
            </w:pPr>
            <w:r>
              <w:rPr>
                <w:rFonts w:hint="eastAsia" w:asciiTheme="minorEastAsia" w:hAnsiTheme="minorEastAsia" w:cstheme="minorEastAsia"/>
                <w:bCs/>
                <w:sz w:val="18"/>
                <w:szCs w:val="18"/>
                <w:lang w:val="en-US" w:eastAsia="zh-CN"/>
              </w:rPr>
              <w:t>0</w:t>
            </w:r>
          </w:p>
        </w:tc>
        <w:tc>
          <w:tcPr>
            <w:tcW w:w="50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Cs/>
                <w:sz w:val="18"/>
                <w:szCs w:val="18"/>
                <w:lang w:val="en-US" w:eastAsia="zh-CN"/>
              </w:rPr>
            </w:pPr>
            <w:r>
              <w:rPr>
                <w:rFonts w:hint="eastAsia" w:asciiTheme="minorEastAsia" w:hAnsiTheme="minorEastAsia" w:cstheme="minorEastAsia"/>
                <w:bCs/>
                <w:color w:val="auto"/>
                <w:sz w:val="18"/>
                <w:szCs w:val="18"/>
                <w:lang w:val="en-US" w:eastAsia="zh-CN"/>
              </w:rPr>
              <w:t>0</w:t>
            </w:r>
          </w:p>
        </w:tc>
        <w:tc>
          <w:tcPr>
            <w:tcW w:w="718" w:type="pct"/>
            <w:gridSpan w:val="3"/>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Cs/>
                <w:sz w:val="18"/>
                <w:szCs w:val="18"/>
                <w:lang w:val="en-US" w:eastAsia="zh-CN"/>
              </w:rPr>
            </w:pPr>
            <w:r>
              <w:rPr>
                <w:rFonts w:hint="eastAsia" w:ascii="宋体" w:hAnsi="Times New Roman" w:eastAsia="宋体" w:cs="Times New Roman"/>
                <w:bCs/>
                <w:sz w:val="21"/>
                <w:szCs w:val="21"/>
                <w:lang w:val="en-US" w:eastAsia="zh-CN"/>
              </w:rPr>
              <w:t>55</w:t>
            </w:r>
          </w:p>
        </w:tc>
      </w:tr>
      <w:tr>
        <w:tblPrEx>
          <w:tblCellMar>
            <w:top w:w="0" w:type="dxa"/>
            <w:left w:w="0" w:type="dxa"/>
            <w:bottom w:w="0" w:type="dxa"/>
            <w:right w:w="0" w:type="dxa"/>
          </w:tblCellMar>
        </w:tblPrEx>
        <w:trPr>
          <w:trHeight w:val="23" w:hRule="atLeast"/>
        </w:trPr>
        <w:tc>
          <w:tcPr>
            <w:tcW w:w="431" w:type="pct"/>
            <w:gridSpan w:val="2"/>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r>
              <w:rPr>
                <w:rFonts w:hint="default" w:ascii="Times New Roman" w:hAnsi="Times New Roman" w:cs="Times New Roman"/>
                <w:b/>
                <w:sz w:val="18"/>
                <w:szCs w:val="18"/>
              </w:rPr>
              <w:t>设</w:t>
            </w: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r>
              <w:rPr>
                <w:rFonts w:hint="default" w:ascii="Times New Roman" w:hAnsi="Times New Roman" w:cs="Times New Roman"/>
                <w:b/>
                <w:sz w:val="18"/>
                <w:szCs w:val="18"/>
              </w:rPr>
              <w:t>备</w:t>
            </w: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r>
              <w:rPr>
                <w:rFonts w:hint="default" w:ascii="Times New Roman" w:hAnsi="Times New Roman" w:cs="Times New Roman"/>
                <w:b/>
                <w:sz w:val="18"/>
                <w:szCs w:val="18"/>
              </w:rPr>
              <w:t>仪</w:t>
            </w: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default" w:ascii="Times New Roman" w:hAnsi="Times New Roman" w:cs="Times New Roman"/>
                <w:b/>
                <w:sz w:val="18"/>
                <w:szCs w:val="18"/>
              </w:rPr>
            </w:pPr>
            <w:r>
              <w:rPr>
                <w:rFonts w:hint="default" w:ascii="Times New Roman" w:hAnsi="Times New Roman" w:cs="Times New Roman"/>
                <w:b/>
                <w:sz w:val="18"/>
                <w:szCs w:val="18"/>
              </w:rPr>
              <w:t>器</w:t>
            </w:r>
          </w:p>
        </w:tc>
        <w:tc>
          <w:tcPr>
            <w:tcW w:w="1183" w:type="pct"/>
            <w:gridSpan w:val="3"/>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1" w:beforeAutospacing="0" w:after="0" w:afterAutospacing="0" w:line="300" w:lineRule="exact"/>
              <w:ind w:left="121" w:right="0"/>
              <w:jc w:val="center"/>
              <w:textAlignment w:val="auto"/>
              <w:rPr>
                <w:rFonts w:hint="eastAsia" w:asciiTheme="minorEastAsia" w:hAnsiTheme="minorEastAsia" w:eastAsiaTheme="minorEastAsia" w:cstheme="minorEastAsia"/>
                <w:b/>
                <w:bCs w:val="0"/>
                <w:sz w:val="18"/>
                <w:szCs w:val="18"/>
              </w:rPr>
            </w:pPr>
            <w:r>
              <w:rPr>
                <w:rFonts w:hint="eastAsia" w:asciiTheme="minorEastAsia" w:hAnsiTheme="minorEastAsia" w:eastAsiaTheme="minorEastAsia" w:cstheme="minorEastAsia"/>
                <w:b/>
                <w:bCs w:val="0"/>
                <w:sz w:val="18"/>
                <w:szCs w:val="18"/>
              </w:rPr>
              <w:t>类别</w:t>
            </w:r>
          </w:p>
        </w:tc>
        <w:tc>
          <w:tcPr>
            <w:tcW w:w="867" w:type="pct"/>
            <w:gridSpan w:val="2"/>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1" w:beforeAutospacing="0" w:after="0" w:afterAutospacing="0" w:line="300" w:lineRule="exact"/>
              <w:ind w:left="121" w:right="0"/>
              <w:jc w:val="center"/>
              <w:textAlignment w:val="auto"/>
              <w:rPr>
                <w:rFonts w:hint="eastAsia" w:asciiTheme="minorEastAsia" w:hAnsiTheme="minorEastAsia" w:eastAsiaTheme="minorEastAsia" w:cstheme="minorEastAsia"/>
                <w:b/>
                <w:bCs w:val="0"/>
                <w:sz w:val="18"/>
                <w:szCs w:val="18"/>
              </w:rPr>
            </w:pPr>
            <w:r>
              <w:rPr>
                <w:rFonts w:hint="eastAsia" w:asciiTheme="minorEastAsia" w:hAnsiTheme="minorEastAsia" w:eastAsiaTheme="minorEastAsia" w:cstheme="minorEastAsia"/>
                <w:b/>
                <w:bCs w:val="0"/>
                <w:sz w:val="18"/>
                <w:szCs w:val="18"/>
              </w:rPr>
              <w:t>单位</w:t>
            </w:r>
          </w:p>
        </w:tc>
        <w:tc>
          <w:tcPr>
            <w:tcW w:w="724" w:type="pct"/>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1" w:beforeAutospacing="0" w:after="0" w:afterAutospacing="0" w:line="300" w:lineRule="exact"/>
              <w:ind w:left="121" w:leftChars="0" w:right="0"/>
              <w:jc w:val="center"/>
              <w:textAlignment w:val="auto"/>
              <w:rPr>
                <w:rFonts w:hint="eastAsia" w:asciiTheme="minorEastAsia" w:hAnsiTheme="minorEastAsia" w:eastAsiaTheme="minorEastAsia" w:cstheme="minorEastAsia"/>
                <w:b/>
                <w:bCs w:val="0"/>
                <w:sz w:val="18"/>
                <w:szCs w:val="18"/>
              </w:rPr>
            </w:pPr>
            <w:r>
              <w:rPr>
                <w:rFonts w:hint="eastAsia" w:asciiTheme="minorEastAsia" w:hAnsiTheme="minorEastAsia" w:eastAsiaTheme="minorEastAsia" w:cstheme="minorEastAsia"/>
                <w:b/>
                <w:bCs w:val="0"/>
                <w:sz w:val="18"/>
                <w:szCs w:val="18"/>
              </w:rPr>
              <w:t>数量</w:t>
            </w:r>
          </w:p>
        </w:tc>
        <w:tc>
          <w:tcPr>
            <w:tcW w:w="575" w:type="pct"/>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1" w:beforeAutospacing="0" w:after="0" w:afterAutospacing="0" w:line="300" w:lineRule="exact"/>
              <w:ind w:left="121" w:right="0"/>
              <w:jc w:val="center"/>
              <w:textAlignment w:val="auto"/>
              <w:rPr>
                <w:rFonts w:hint="eastAsia" w:asciiTheme="minorEastAsia" w:hAnsiTheme="minorEastAsia" w:eastAsiaTheme="minorEastAsia" w:cstheme="minorEastAsia"/>
                <w:b/>
                <w:bCs w:val="0"/>
                <w:sz w:val="18"/>
                <w:szCs w:val="18"/>
              </w:rPr>
            </w:pPr>
            <w:r>
              <w:rPr>
                <w:rFonts w:hint="eastAsia" w:asciiTheme="minorEastAsia" w:hAnsiTheme="minorEastAsia" w:eastAsiaTheme="minorEastAsia" w:cstheme="minorEastAsia"/>
                <w:b/>
                <w:bCs w:val="0"/>
                <w:sz w:val="18"/>
                <w:szCs w:val="18"/>
              </w:rPr>
              <w:t>类别</w:t>
            </w:r>
          </w:p>
        </w:tc>
        <w:tc>
          <w:tcPr>
            <w:tcW w:w="500" w:type="pct"/>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1" w:beforeAutospacing="0" w:after="0" w:afterAutospacing="0" w:line="300" w:lineRule="exact"/>
              <w:ind w:left="121" w:right="0"/>
              <w:jc w:val="center"/>
              <w:textAlignment w:val="auto"/>
              <w:rPr>
                <w:rFonts w:hint="eastAsia" w:asciiTheme="minorEastAsia" w:hAnsiTheme="minorEastAsia" w:eastAsiaTheme="minorEastAsia" w:cstheme="minorEastAsia"/>
                <w:b/>
                <w:bCs w:val="0"/>
                <w:sz w:val="18"/>
                <w:szCs w:val="18"/>
              </w:rPr>
            </w:pPr>
            <w:r>
              <w:rPr>
                <w:rFonts w:hint="eastAsia" w:asciiTheme="minorEastAsia" w:hAnsiTheme="minorEastAsia" w:eastAsiaTheme="minorEastAsia" w:cstheme="minorEastAsia"/>
                <w:b/>
                <w:bCs w:val="0"/>
                <w:sz w:val="18"/>
                <w:szCs w:val="18"/>
              </w:rPr>
              <w:t>单位</w:t>
            </w:r>
          </w:p>
        </w:tc>
        <w:tc>
          <w:tcPr>
            <w:tcW w:w="718" w:type="pct"/>
            <w:gridSpan w:val="3"/>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1" w:beforeAutospacing="0" w:after="0" w:afterAutospacing="0" w:line="300" w:lineRule="exact"/>
              <w:ind w:left="121" w:leftChars="0" w:right="0"/>
              <w:jc w:val="center"/>
              <w:textAlignment w:val="auto"/>
              <w:rPr>
                <w:rFonts w:hint="eastAsia" w:asciiTheme="minorEastAsia" w:hAnsiTheme="minorEastAsia" w:eastAsiaTheme="minorEastAsia" w:cstheme="minorEastAsia"/>
                <w:b/>
                <w:bCs w:val="0"/>
                <w:sz w:val="18"/>
                <w:szCs w:val="18"/>
              </w:rPr>
            </w:pPr>
            <w:r>
              <w:rPr>
                <w:rFonts w:hint="eastAsia" w:asciiTheme="minorEastAsia" w:hAnsiTheme="minorEastAsia" w:eastAsiaTheme="minorEastAsia" w:cstheme="minorEastAsia"/>
                <w:b/>
                <w:bCs w:val="0"/>
                <w:sz w:val="18"/>
                <w:szCs w:val="18"/>
              </w:rPr>
              <w:t>数量</w:t>
            </w:r>
          </w:p>
        </w:tc>
      </w:tr>
      <w:tr>
        <w:tblPrEx>
          <w:tblCellMar>
            <w:top w:w="0" w:type="dxa"/>
            <w:left w:w="0" w:type="dxa"/>
            <w:bottom w:w="0" w:type="dxa"/>
            <w:right w:w="0" w:type="dxa"/>
          </w:tblCellMar>
        </w:tblPrEx>
        <w:trPr>
          <w:trHeight w:val="23" w:hRule="atLeast"/>
        </w:trPr>
        <w:tc>
          <w:tcPr>
            <w:tcW w:w="431" w:type="pct"/>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28" w:beforeAutospacing="0" w:after="0" w:afterAutospacing="0" w:line="300" w:lineRule="exact"/>
              <w:ind w:left="2" w:right="0"/>
              <w:jc w:val="center"/>
              <w:textAlignment w:val="auto"/>
              <w:rPr>
                <w:rFonts w:hint="default" w:ascii="Times New Roman" w:hAnsi="Times New Roman" w:cs="Times New Roman"/>
                <w:sz w:val="18"/>
                <w:szCs w:val="18"/>
              </w:rPr>
            </w:pPr>
          </w:p>
        </w:tc>
        <w:tc>
          <w:tcPr>
            <w:tcW w:w="1183" w:type="pct"/>
            <w:gridSpan w:val="3"/>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1" w:beforeAutospacing="0" w:after="0" w:afterAutospacing="0" w:line="300" w:lineRule="exact"/>
              <w:ind w:left="121" w:right="0"/>
              <w:jc w:val="center"/>
              <w:textAlignment w:val="auto"/>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全站仪</w:t>
            </w:r>
          </w:p>
        </w:tc>
        <w:tc>
          <w:tcPr>
            <w:tcW w:w="867" w:type="pct"/>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w w:val="105"/>
                <w:sz w:val="18"/>
                <w:szCs w:val="18"/>
              </w:rPr>
              <w:t>台</w:t>
            </w:r>
            <w:r>
              <w:rPr>
                <w:rFonts w:hint="eastAsia" w:asciiTheme="minorEastAsia" w:hAnsiTheme="minorEastAsia" w:eastAsiaTheme="minorEastAsia" w:cstheme="minorEastAsia"/>
                <w:b w:val="0"/>
                <w:bCs/>
                <w:spacing w:val="1"/>
                <w:w w:val="105"/>
                <w:sz w:val="18"/>
                <w:szCs w:val="18"/>
              </w:rPr>
              <w:t>/</w:t>
            </w:r>
            <w:r>
              <w:rPr>
                <w:rFonts w:hint="eastAsia" w:asciiTheme="minorEastAsia" w:hAnsiTheme="minorEastAsia" w:eastAsiaTheme="minorEastAsia" w:cstheme="minorEastAsia"/>
                <w:b w:val="0"/>
                <w:bCs/>
                <w:w w:val="105"/>
                <w:sz w:val="18"/>
                <w:szCs w:val="18"/>
              </w:rPr>
              <w:t>套</w:t>
            </w:r>
          </w:p>
        </w:tc>
        <w:tc>
          <w:tcPr>
            <w:tcW w:w="724"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val="0"/>
              <w:suppressLineNumbers w:val="0"/>
              <w:autoSpaceDE w:val="0"/>
              <w:autoSpaceDN w:val="0"/>
              <w:bidi w:val="0"/>
              <w:adjustRightInd w:val="0"/>
              <w:spacing w:before="0" w:beforeAutospacing="0" w:after="0" w:afterAutospacing="0" w:line="300" w:lineRule="exact"/>
              <w:ind w:left="0" w:right="0"/>
              <w:jc w:val="center"/>
              <w:rPr>
                <w:rFonts w:hint="default" w:asciiTheme="minorEastAsia" w:hAnsiTheme="minorEastAsia" w:eastAsiaTheme="minorEastAsia" w:cstheme="minorEastAsia"/>
                <w:bCs/>
                <w:sz w:val="18"/>
                <w:szCs w:val="18"/>
                <w:lang w:val="en-US" w:eastAsia="zh-CN"/>
              </w:rPr>
            </w:pPr>
            <w:r>
              <w:rPr>
                <w:rFonts w:hint="eastAsia" w:asciiTheme="minorEastAsia" w:hAnsiTheme="minorEastAsia" w:cstheme="minorEastAsia"/>
                <w:bCs/>
                <w:sz w:val="18"/>
                <w:szCs w:val="18"/>
                <w:lang w:val="en-US" w:eastAsia="zh-CN"/>
              </w:rPr>
              <w:t>2</w:t>
            </w:r>
          </w:p>
        </w:tc>
        <w:tc>
          <w:tcPr>
            <w:tcW w:w="575" w:type="pct"/>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widowControl w:val="0"/>
              <w:suppressLineNumbers w:val="0"/>
              <w:autoSpaceDE w:val="0"/>
              <w:autoSpaceDN w:val="0"/>
              <w:bidi w:val="0"/>
              <w:adjustRightInd w:val="0"/>
              <w:spacing w:before="1" w:beforeAutospacing="0" w:after="0" w:afterAutospacing="0" w:line="300" w:lineRule="exact"/>
              <w:ind w:left="0" w:right="0"/>
              <w:jc w:val="center"/>
              <w:rPr>
                <w:rFonts w:hint="eastAsia"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凿岩机</w:t>
            </w:r>
          </w:p>
        </w:tc>
        <w:tc>
          <w:tcPr>
            <w:tcW w:w="50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val="0"/>
              <w:suppressLineNumbers w:val="0"/>
              <w:autoSpaceDE w:val="0"/>
              <w:autoSpaceDN w:val="0"/>
              <w:bidi w:val="0"/>
              <w:adjustRightInd w:val="0"/>
              <w:spacing w:before="0" w:beforeAutospacing="0" w:after="0" w:afterAutospacing="0" w:line="300" w:lineRule="exact"/>
              <w:ind w:left="0" w:right="0"/>
              <w:jc w:val="center"/>
              <w:rPr>
                <w:rFonts w:hint="eastAsia"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台/套</w:t>
            </w:r>
          </w:p>
        </w:tc>
        <w:tc>
          <w:tcPr>
            <w:tcW w:w="718" w:type="pct"/>
            <w:gridSpan w:val="3"/>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val="0"/>
              <w:suppressLineNumbers w:val="0"/>
              <w:autoSpaceDE w:val="0"/>
              <w:autoSpaceDN w:val="0"/>
              <w:bidi w:val="0"/>
              <w:adjustRightInd w:val="0"/>
              <w:spacing w:before="0" w:beforeAutospacing="0" w:after="0" w:afterAutospacing="0" w:line="300" w:lineRule="exact"/>
              <w:ind w:left="0" w:right="0"/>
              <w:jc w:val="center"/>
              <w:rPr>
                <w:rFonts w:hint="eastAsia" w:asciiTheme="minorEastAsia" w:hAnsiTheme="minorEastAsia" w:eastAsiaTheme="minorEastAsia" w:cstheme="minorEastAsia"/>
                <w:bCs/>
                <w:sz w:val="18"/>
                <w:szCs w:val="18"/>
                <w:lang w:eastAsia="zh-CN"/>
              </w:rPr>
            </w:pPr>
            <w:r>
              <w:rPr>
                <w:rFonts w:hint="eastAsia" w:asciiTheme="minorEastAsia" w:hAnsiTheme="minorEastAsia" w:eastAsiaTheme="minorEastAsia" w:cstheme="minorEastAsia"/>
                <w:bCs/>
                <w:sz w:val="18"/>
                <w:szCs w:val="18"/>
                <w:lang w:val="en-US" w:eastAsia="zh-CN"/>
              </w:rPr>
              <w:t>*</w:t>
            </w:r>
          </w:p>
        </w:tc>
      </w:tr>
      <w:tr>
        <w:tblPrEx>
          <w:tblCellMar>
            <w:top w:w="0" w:type="dxa"/>
            <w:left w:w="0" w:type="dxa"/>
            <w:bottom w:w="0" w:type="dxa"/>
            <w:right w:w="0" w:type="dxa"/>
          </w:tblCellMar>
        </w:tblPrEx>
        <w:trPr>
          <w:trHeight w:val="341" w:hRule="atLeast"/>
        </w:trPr>
        <w:tc>
          <w:tcPr>
            <w:tcW w:w="431" w:type="pct"/>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textAlignment w:val="auto"/>
              <w:rPr>
                <w:rFonts w:hint="default" w:ascii="Times New Roman" w:hAnsi="Times New Roman" w:cs="Times New Roman"/>
                <w:sz w:val="18"/>
                <w:szCs w:val="18"/>
              </w:rPr>
            </w:pPr>
          </w:p>
        </w:tc>
        <w:tc>
          <w:tcPr>
            <w:tcW w:w="1183" w:type="pct"/>
            <w:gridSpan w:val="3"/>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1" w:beforeAutospacing="0" w:after="0" w:afterAutospacing="0" w:line="300" w:lineRule="exact"/>
              <w:ind w:left="121" w:right="0"/>
              <w:jc w:val="center"/>
              <w:textAlignment w:val="auto"/>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水准仪</w:t>
            </w:r>
          </w:p>
        </w:tc>
        <w:tc>
          <w:tcPr>
            <w:tcW w:w="867" w:type="pct"/>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w w:val="105"/>
                <w:sz w:val="18"/>
                <w:szCs w:val="18"/>
              </w:rPr>
              <w:t>台</w:t>
            </w:r>
            <w:r>
              <w:rPr>
                <w:rFonts w:hint="eastAsia" w:asciiTheme="minorEastAsia" w:hAnsiTheme="minorEastAsia" w:eastAsiaTheme="minorEastAsia" w:cstheme="minorEastAsia"/>
                <w:b w:val="0"/>
                <w:bCs/>
                <w:spacing w:val="1"/>
                <w:w w:val="105"/>
                <w:sz w:val="18"/>
                <w:szCs w:val="18"/>
              </w:rPr>
              <w:t>/</w:t>
            </w:r>
            <w:r>
              <w:rPr>
                <w:rFonts w:hint="eastAsia" w:asciiTheme="minorEastAsia" w:hAnsiTheme="minorEastAsia" w:eastAsiaTheme="minorEastAsia" w:cstheme="minorEastAsia"/>
                <w:b w:val="0"/>
                <w:bCs/>
                <w:w w:val="105"/>
                <w:sz w:val="18"/>
                <w:szCs w:val="18"/>
              </w:rPr>
              <w:t>套</w:t>
            </w:r>
          </w:p>
        </w:tc>
        <w:tc>
          <w:tcPr>
            <w:tcW w:w="724"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val="0"/>
              <w:suppressLineNumbers w:val="0"/>
              <w:autoSpaceDE w:val="0"/>
              <w:autoSpaceDN w:val="0"/>
              <w:bidi w:val="0"/>
              <w:adjustRightInd w:val="0"/>
              <w:spacing w:before="0" w:beforeAutospacing="0" w:after="0" w:afterAutospacing="0" w:line="300" w:lineRule="exact"/>
              <w:ind w:left="0" w:right="0"/>
              <w:jc w:val="center"/>
              <w:rPr>
                <w:rFonts w:hint="eastAsia" w:asciiTheme="minorEastAsia" w:hAnsiTheme="minorEastAsia" w:eastAsiaTheme="minorEastAsia" w:cstheme="minorEastAsia"/>
                <w:bCs/>
                <w:sz w:val="18"/>
                <w:szCs w:val="18"/>
                <w:lang w:val="en-US" w:eastAsia="zh-CN"/>
              </w:rPr>
            </w:pPr>
            <w:r>
              <w:rPr>
                <w:rFonts w:hint="eastAsia" w:asciiTheme="minorEastAsia" w:hAnsiTheme="minorEastAsia" w:cstheme="minorEastAsia"/>
                <w:bCs/>
                <w:sz w:val="18"/>
                <w:szCs w:val="18"/>
                <w:lang w:val="en-US" w:eastAsia="zh-CN"/>
              </w:rPr>
              <w:t>3</w:t>
            </w:r>
          </w:p>
        </w:tc>
        <w:tc>
          <w:tcPr>
            <w:tcW w:w="575" w:type="pct"/>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widowControl w:val="0"/>
              <w:suppressLineNumbers w:val="0"/>
              <w:autoSpaceDE w:val="0"/>
              <w:autoSpaceDN w:val="0"/>
              <w:bidi w:val="0"/>
              <w:adjustRightInd w:val="0"/>
              <w:spacing w:before="1" w:beforeAutospacing="0" w:after="0" w:afterAutospacing="0" w:line="300" w:lineRule="exact"/>
              <w:ind w:left="0" w:right="0"/>
              <w:jc w:val="center"/>
              <w:rPr>
                <w:rFonts w:hint="eastAsia"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探地雷达</w:t>
            </w:r>
          </w:p>
        </w:tc>
        <w:tc>
          <w:tcPr>
            <w:tcW w:w="50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val="0"/>
              <w:suppressLineNumbers w:val="0"/>
              <w:autoSpaceDE w:val="0"/>
              <w:autoSpaceDN w:val="0"/>
              <w:bidi w:val="0"/>
              <w:adjustRightInd w:val="0"/>
              <w:spacing w:before="0" w:beforeAutospacing="0" w:after="0" w:afterAutospacing="0" w:line="300" w:lineRule="exact"/>
              <w:ind w:left="0" w:right="0"/>
              <w:jc w:val="center"/>
              <w:rPr>
                <w:rFonts w:hint="eastAsia"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台/套</w:t>
            </w:r>
          </w:p>
        </w:tc>
        <w:tc>
          <w:tcPr>
            <w:tcW w:w="718" w:type="pct"/>
            <w:gridSpan w:val="3"/>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val="0"/>
              <w:suppressLineNumbers w:val="0"/>
              <w:autoSpaceDE w:val="0"/>
              <w:autoSpaceDN w:val="0"/>
              <w:bidi w:val="0"/>
              <w:adjustRightInd w:val="0"/>
              <w:spacing w:before="0" w:beforeAutospacing="0" w:after="0" w:afterAutospacing="0" w:line="300" w:lineRule="exact"/>
              <w:ind w:left="0" w:right="0"/>
              <w:jc w:val="center"/>
              <w:rPr>
                <w:rFonts w:hint="eastAsia" w:asciiTheme="minorEastAsia" w:hAnsiTheme="minorEastAsia" w:eastAsiaTheme="minorEastAsia" w:cstheme="minorEastAsia"/>
                <w:bCs/>
                <w:sz w:val="18"/>
                <w:szCs w:val="18"/>
                <w:lang w:eastAsia="zh-CN"/>
              </w:rPr>
            </w:pPr>
            <w:r>
              <w:rPr>
                <w:rFonts w:hint="eastAsia" w:asciiTheme="minorEastAsia" w:hAnsiTheme="minorEastAsia" w:eastAsiaTheme="minorEastAsia" w:cstheme="minorEastAsia"/>
                <w:bCs/>
                <w:sz w:val="18"/>
                <w:szCs w:val="18"/>
                <w:lang w:val="en-US" w:eastAsia="zh-CN"/>
              </w:rPr>
              <w:t>1</w:t>
            </w:r>
          </w:p>
        </w:tc>
      </w:tr>
      <w:tr>
        <w:tblPrEx>
          <w:tblCellMar>
            <w:top w:w="0" w:type="dxa"/>
            <w:left w:w="0" w:type="dxa"/>
            <w:bottom w:w="0" w:type="dxa"/>
            <w:right w:w="0" w:type="dxa"/>
          </w:tblCellMar>
        </w:tblPrEx>
        <w:trPr>
          <w:trHeight w:val="23" w:hRule="atLeast"/>
        </w:trPr>
        <w:tc>
          <w:tcPr>
            <w:tcW w:w="431" w:type="pct"/>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textAlignment w:val="auto"/>
              <w:rPr>
                <w:rFonts w:hint="default" w:ascii="Times New Roman" w:hAnsi="Times New Roman" w:cs="Times New Roman"/>
                <w:sz w:val="18"/>
                <w:szCs w:val="18"/>
              </w:rPr>
            </w:pPr>
          </w:p>
        </w:tc>
        <w:tc>
          <w:tcPr>
            <w:tcW w:w="1183" w:type="pct"/>
            <w:gridSpan w:val="3"/>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pageBreakBefore w:val="0"/>
              <w:widowControl w:val="0"/>
              <w:suppressLineNumbers w:val="0"/>
              <w:kinsoku/>
              <w:wordWrap/>
              <w:overflowPunct/>
              <w:topLinePunct w:val="0"/>
              <w:autoSpaceDE w:val="0"/>
              <w:autoSpaceDN w:val="0"/>
              <w:bidi w:val="0"/>
              <w:adjustRightInd w:val="0"/>
              <w:snapToGrid/>
              <w:spacing w:before="1" w:beforeAutospacing="0" w:after="0" w:afterAutospacing="0" w:line="300" w:lineRule="exact"/>
              <w:ind w:left="121" w:right="0"/>
              <w:jc w:val="center"/>
              <w:textAlignment w:val="auto"/>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锚杆锚索钻机</w:t>
            </w:r>
          </w:p>
        </w:tc>
        <w:tc>
          <w:tcPr>
            <w:tcW w:w="867" w:type="pct"/>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w w:val="105"/>
                <w:sz w:val="18"/>
                <w:szCs w:val="18"/>
              </w:rPr>
              <w:t>台</w:t>
            </w:r>
            <w:r>
              <w:rPr>
                <w:rFonts w:hint="eastAsia" w:asciiTheme="minorEastAsia" w:hAnsiTheme="minorEastAsia" w:eastAsiaTheme="minorEastAsia" w:cstheme="minorEastAsia"/>
                <w:b w:val="0"/>
                <w:bCs/>
                <w:spacing w:val="1"/>
                <w:w w:val="105"/>
                <w:sz w:val="18"/>
                <w:szCs w:val="18"/>
              </w:rPr>
              <w:t>/</w:t>
            </w:r>
            <w:r>
              <w:rPr>
                <w:rFonts w:hint="eastAsia" w:asciiTheme="minorEastAsia" w:hAnsiTheme="minorEastAsia" w:eastAsiaTheme="minorEastAsia" w:cstheme="minorEastAsia"/>
                <w:b w:val="0"/>
                <w:bCs/>
                <w:w w:val="105"/>
                <w:sz w:val="18"/>
                <w:szCs w:val="18"/>
              </w:rPr>
              <w:t>套</w:t>
            </w:r>
          </w:p>
        </w:tc>
        <w:tc>
          <w:tcPr>
            <w:tcW w:w="724"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val="0"/>
              <w:suppressLineNumbers w:val="0"/>
              <w:autoSpaceDE w:val="0"/>
              <w:autoSpaceDN w:val="0"/>
              <w:bidi w:val="0"/>
              <w:adjustRightInd w:val="0"/>
              <w:spacing w:before="0" w:beforeAutospacing="0" w:after="0" w:afterAutospacing="0" w:line="300" w:lineRule="exact"/>
              <w:ind w:left="0" w:right="0"/>
              <w:jc w:val="center"/>
              <w:rPr>
                <w:rFonts w:hint="eastAsia" w:asciiTheme="minorEastAsia" w:hAnsiTheme="minorEastAsia" w:eastAsiaTheme="minorEastAsia" w:cstheme="minorEastAsia"/>
                <w:bCs/>
                <w:sz w:val="18"/>
                <w:szCs w:val="18"/>
                <w:lang w:eastAsia="zh-CN"/>
              </w:rPr>
            </w:pPr>
            <w:r>
              <w:rPr>
                <w:rFonts w:hint="eastAsia" w:asciiTheme="minorEastAsia" w:hAnsiTheme="minorEastAsia" w:eastAsiaTheme="minorEastAsia" w:cstheme="minorEastAsia"/>
                <w:bCs/>
                <w:sz w:val="18"/>
                <w:szCs w:val="18"/>
                <w:lang w:val="en-US" w:eastAsia="zh-CN"/>
              </w:rPr>
              <w:t>*</w:t>
            </w:r>
          </w:p>
        </w:tc>
        <w:tc>
          <w:tcPr>
            <w:tcW w:w="575" w:type="pct"/>
            <w:tcBorders>
              <w:top w:val="single" w:color="000000" w:sz="8" w:space="0"/>
              <w:left w:val="single" w:color="000000" w:sz="8" w:space="0"/>
              <w:bottom w:val="single" w:color="000000" w:sz="8" w:space="0"/>
              <w:right w:val="single" w:color="000000" w:sz="8" w:space="0"/>
            </w:tcBorders>
            <w:noWrap w:val="0"/>
            <w:vAlign w:val="center"/>
          </w:tcPr>
          <w:p>
            <w:pPr>
              <w:pStyle w:val="7"/>
              <w:keepNext w:val="0"/>
              <w:keepLines w:val="0"/>
              <w:widowControl w:val="0"/>
              <w:suppressLineNumbers w:val="0"/>
              <w:autoSpaceDE w:val="0"/>
              <w:autoSpaceDN w:val="0"/>
              <w:bidi w:val="0"/>
              <w:adjustRightInd w:val="0"/>
              <w:spacing w:before="1" w:beforeAutospacing="0" w:after="0" w:afterAutospacing="0" w:line="300" w:lineRule="exact"/>
              <w:ind w:left="-120" w:leftChars="0" w:right="-120" w:rightChars="0"/>
              <w:jc w:val="center"/>
              <w:rPr>
                <w:rFonts w:hint="eastAsia" w:asciiTheme="minorEastAsia" w:hAnsiTheme="minorEastAsia" w:eastAsiaTheme="minorEastAsia" w:cstheme="minorEastAsia"/>
                <w:bCs/>
                <w:color w:val="FF0000"/>
                <w:sz w:val="18"/>
                <w:szCs w:val="18"/>
                <w:lang w:eastAsia="zh-CN"/>
              </w:rPr>
            </w:pPr>
            <w:r>
              <w:rPr>
                <w:rFonts w:hint="eastAsia" w:asciiTheme="minorEastAsia" w:hAnsiTheme="minorEastAsia" w:eastAsiaTheme="minorEastAsia" w:cstheme="minorEastAsia"/>
                <w:bCs/>
                <w:color w:val="000000"/>
                <w:sz w:val="18"/>
                <w:szCs w:val="18"/>
              </w:rPr>
              <w:t>其他</w:t>
            </w:r>
          </w:p>
        </w:tc>
        <w:tc>
          <w:tcPr>
            <w:tcW w:w="500" w:type="pc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val="0"/>
              <w:suppressLineNumbers w:val="0"/>
              <w:autoSpaceDE w:val="0"/>
              <w:autoSpaceDN w:val="0"/>
              <w:bidi w:val="0"/>
              <w:adjustRightInd w:val="0"/>
              <w:spacing w:before="0" w:beforeAutospacing="0" w:after="0" w:afterAutospacing="0" w:line="300" w:lineRule="exact"/>
              <w:ind w:left="0" w:right="0"/>
              <w:jc w:val="center"/>
              <w:rPr>
                <w:rFonts w:hint="eastAsia" w:asciiTheme="minorEastAsia" w:hAnsiTheme="minorEastAsia" w:eastAsiaTheme="minorEastAsia" w:cstheme="minorEastAsia"/>
                <w:bCs/>
                <w:color w:val="FF0000"/>
                <w:sz w:val="18"/>
                <w:szCs w:val="18"/>
              </w:rPr>
            </w:pPr>
            <w:r>
              <w:rPr>
                <w:rFonts w:hint="eastAsia" w:asciiTheme="minorEastAsia" w:hAnsiTheme="minorEastAsia" w:eastAsiaTheme="minorEastAsia" w:cstheme="minorEastAsia"/>
                <w:bCs/>
                <w:sz w:val="18"/>
                <w:szCs w:val="18"/>
              </w:rPr>
              <w:t>台/套</w:t>
            </w:r>
          </w:p>
        </w:tc>
        <w:tc>
          <w:tcPr>
            <w:tcW w:w="718" w:type="pct"/>
            <w:gridSpan w:val="3"/>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val="0"/>
              <w:suppressLineNumbers w:val="0"/>
              <w:autoSpaceDE w:val="0"/>
              <w:autoSpaceDN w:val="0"/>
              <w:bidi w:val="0"/>
              <w:adjustRightInd w:val="0"/>
              <w:spacing w:before="0" w:beforeAutospacing="0" w:after="0" w:afterAutospacing="0" w:line="300" w:lineRule="exact"/>
              <w:ind w:left="0" w:right="0"/>
              <w:jc w:val="center"/>
              <w:rPr>
                <w:rFonts w:hint="eastAsia" w:asciiTheme="minorEastAsia" w:hAnsiTheme="minorEastAsia" w:eastAsiaTheme="minorEastAsia" w:cstheme="minorEastAsia"/>
                <w:bCs/>
                <w:sz w:val="18"/>
                <w:szCs w:val="18"/>
                <w:lang w:eastAsia="zh-CN"/>
              </w:rPr>
            </w:pPr>
            <w:r>
              <w:rPr>
                <w:rFonts w:hint="eastAsia" w:asciiTheme="minorEastAsia" w:hAnsiTheme="minorEastAsia" w:eastAsiaTheme="minorEastAsia" w:cstheme="minorEastAsia"/>
                <w:bCs/>
                <w:sz w:val="18"/>
                <w:szCs w:val="18"/>
                <w:lang w:val="en-US" w:eastAsia="zh-CN"/>
              </w:rPr>
              <w:t>*</w:t>
            </w:r>
          </w:p>
        </w:tc>
      </w:tr>
      <w:tr>
        <w:tblPrEx>
          <w:tblCellMar>
            <w:top w:w="0" w:type="dxa"/>
            <w:left w:w="0" w:type="dxa"/>
            <w:bottom w:w="0" w:type="dxa"/>
            <w:right w:w="0" w:type="dxa"/>
          </w:tblCellMar>
        </w:tblPrEx>
        <w:trPr>
          <w:trHeight w:val="23" w:hRule="atLeast"/>
        </w:trPr>
        <w:tc>
          <w:tcPr>
            <w:tcW w:w="5000" w:type="pct"/>
            <w:gridSpan w:val="13"/>
            <w:tcBorders>
              <w:top w:val="single" w:color="000000" w:sz="8" w:space="0"/>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Cs/>
                <w:sz w:val="18"/>
                <w:szCs w:val="18"/>
                <w:lang w:val="en-US" w:eastAsia="zh-CN"/>
              </w:rPr>
            </w:pPr>
            <w:r>
              <w:rPr>
                <w:rFonts w:hint="eastAsia" w:asciiTheme="minorEastAsia" w:hAnsiTheme="minorEastAsia" w:eastAsiaTheme="minorEastAsia" w:cstheme="minorEastAsia"/>
                <w:b/>
                <w:bCs/>
                <w:sz w:val="18"/>
                <w:szCs w:val="18"/>
              </w:rPr>
              <w:t>业绩列表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00" w:hRule="atLeast"/>
          <w:tblHeader/>
        </w:trPr>
        <w:tc>
          <w:tcPr>
            <w:tcW w:w="188" w:type="pc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rPr>
            </w:pPr>
            <w:r>
              <w:rPr>
                <w:rFonts w:hint="default" w:ascii="Times New Roman" w:hAnsi="Times New Roman" w:cs="Times New Roman"/>
                <w:b/>
                <w:sz w:val="18"/>
                <w:szCs w:val="18"/>
              </w:rPr>
              <w:t>序号</w:t>
            </w:r>
          </w:p>
        </w:tc>
        <w:tc>
          <w:tcPr>
            <w:tcW w:w="963" w:type="pct"/>
            <w:gridSpan w:val="3"/>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业绩项目名称</w:t>
            </w:r>
          </w:p>
        </w:tc>
        <w:tc>
          <w:tcPr>
            <w:tcW w:w="867" w:type="pct"/>
            <w:gridSpan w:val="2"/>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业主单位</w:t>
            </w:r>
          </w:p>
        </w:tc>
        <w:tc>
          <w:tcPr>
            <w:tcW w:w="462" w:type="pc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完成时间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（年月）</w:t>
            </w:r>
          </w:p>
        </w:tc>
        <w:tc>
          <w:tcPr>
            <w:tcW w:w="1854" w:type="pct"/>
            <w:gridSpan w:val="4"/>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工作主要内容</w:t>
            </w:r>
          </w:p>
        </w:tc>
        <w:tc>
          <w:tcPr>
            <w:tcW w:w="391" w:type="pc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合同额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（万元）</w:t>
            </w:r>
          </w:p>
        </w:tc>
        <w:tc>
          <w:tcPr>
            <w:tcW w:w="271" w:type="pc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项目</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级别</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88"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lang w:val="en-US" w:eastAsia="zh-CN"/>
              </w:rPr>
            </w:pPr>
            <w:r>
              <w:rPr>
                <w:rFonts w:hint="eastAsia"/>
                <w:sz w:val="21"/>
                <w:szCs w:val="21"/>
                <w:lang w:val="en-US" w:eastAsia="zh-CN"/>
              </w:rPr>
              <w:t>1</w:t>
            </w:r>
          </w:p>
        </w:tc>
        <w:tc>
          <w:tcPr>
            <w:tcW w:w="963" w:type="pct"/>
            <w:gridSpan w:val="3"/>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rPr>
              <w:t>太湖天光抽水蓄能电站</w:t>
            </w:r>
            <w:r>
              <w:rPr>
                <w:rFonts w:hint="eastAsia"/>
                <w:sz w:val="21"/>
                <w:szCs w:val="21"/>
                <w:lang w:val="en-US" w:eastAsia="zh-CN"/>
              </w:rPr>
              <w:t>曹河</w:t>
            </w:r>
            <w:r>
              <w:rPr>
                <w:rFonts w:hint="eastAsia"/>
                <w:sz w:val="21"/>
                <w:szCs w:val="21"/>
              </w:rPr>
              <w:t>安置区地质灾害危险性评估报告</w:t>
            </w:r>
          </w:p>
        </w:tc>
        <w:tc>
          <w:tcPr>
            <w:tcW w:w="867" w:type="pct"/>
            <w:gridSpan w:val="2"/>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广东省水利电力勘测设计研究院股份有限公司</w:t>
            </w:r>
          </w:p>
        </w:tc>
        <w:tc>
          <w:tcPr>
            <w:tcW w:w="462" w:type="pct"/>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lang w:val="en-US" w:eastAsia="zh-CN"/>
              </w:rPr>
            </w:pPr>
            <w:r>
              <w:rPr>
                <w:rFonts w:hint="eastAsia"/>
                <w:sz w:val="21"/>
                <w:szCs w:val="21"/>
                <w:lang w:val="en-US" w:eastAsia="zh-CN"/>
              </w:rPr>
              <w:t>2025年9月</w:t>
            </w:r>
          </w:p>
        </w:tc>
        <w:tc>
          <w:tcPr>
            <w:tcW w:w="1854" w:type="pct"/>
            <w:gridSpan w:val="4"/>
            <w:noWrap w:val="0"/>
            <w:vAlign w:val="center"/>
          </w:tcPr>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（一）本评估项目为较重要建设项目，地质环境条件复杂程度属中等复杂类型。依据地质灾害评估技术要求，确定本项目建设场地地质灾害危险性评估级别为二级评估。</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（二）现状评估：根据野外地质灾害综合调查，评估区内无现状地质灾害。</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（三）预测评估：评估区内工程建设可能引发边坡崩塌/滑坡地质灾害，其发育程度弱，危害程度大，危险性中等；可能遭受自然山体斜坡崩塌/滑坡地质灾害，其发育程度弱，危害程度小，危险性小。</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（四）将评估区划分为崩塌/滑坡危险性中等和危险性小两个区。崩塌/滑坡危险性中等区（Ⅰ）面积为10100m</w:t>
            </w:r>
            <w:r>
              <w:rPr>
                <w:rFonts w:hint="eastAsia"/>
                <w:sz w:val="18"/>
                <w:szCs w:val="18"/>
                <w:vertAlign w:val="superscript"/>
              </w:rPr>
              <w:t>2</w:t>
            </w:r>
            <w:r>
              <w:rPr>
                <w:rFonts w:hint="eastAsia"/>
                <w:sz w:val="18"/>
                <w:szCs w:val="18"/>
              </w:rPr>
              <w:t>，占评估区面积16.9%，为用地红线范围，属于主要工程建设区域；崩塌/滑坡危险性小区（Ⅱ）面积为49668m</w:t>
            </w:r>
            <w:r>
              <w:rPr>
                <w:rFonts w:hint="eastAsia"/>
                <w:sz w:val="18"/>
                <w:szCs w:val="18"/>
                <w:vertAlign w:val="superscript"/>
              </w:rPr>
              <w:t>2</w:t>
            </w:r>
            <w:r>
              <w:rPr>
                <w:rFonts w:hint="eastAsia"/>
                <w:sz w:val="18"/>
                <w:szCs w:val="18"/>
              </w:rPr>
              <w:t>，占评估区面积83.1%，为用地红线范围外评估区范围，属于非工程建设区域。</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（五）建设用地的适宜性评价为：崩塌/滑坡地质灾害危险性中等区（Ⅰ）基本适宜，崩塌/滑坡地质灾害危险性小区（Ⅱ）为适宜。</w:t>
            </w:r>
          </w:p>
          <w:p>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sz w:val="18"/>
                <w:szCs w:val="18"/>
              </w:rPr>
            </w:pPr>
            <w:r>
              <w:rPr>
                <w:rFonts w:hint="eastAsia"/>
                <w:sz w:val="18"/>
                <w:szCs w:val="18"/>
              </w:rPr>
              <w:t>（六）本次评估工作不替代建设工程各阶段的工程地质勘察或有关的评价工作。</w:t>
            </w:r>
          </w:p>
        </w:tc>
        <w:tc>
          <w:tcPr>
            <w:tcW w:w="391" w:type="pct"/>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lang w:val="en-US" w:eastAsia="zh-CN"/>
              </w:rPr>
            </w:pPr>
            <w:r>
              <w:rPr>
                <w:rFonts w:hint="eastAsia"/>
                <w:sz w:val="21"/>
                <w:szCs w:val="21"/>
                <w:lang w:val="en-US" w:eastAsia="zh-CN"/>
              </w:rPr>
              <w:t>12.5</w:t>
            </w:r>
          </w:p>
        </w:tc>
        <w:tc>
          <w:tcPr>
            <w:tcW w:w="271"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二级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88"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eastAsia"/>
                <w:sz w:val="21"/>
                <w:szCs w:val="21"/>
                <w:lang w:val="en-US" w:eastAsia="zh-CN"/>
              </w:rPr>
              <w:t>2</w:t>
            </w:r>
          </w:p>
        </w:tc>
        <w:tc>
          <w:tcPr>
            <w:tcW w:w="963" w:type="pct"/>
            <w:gridSpan w:val="3"/>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rPr>
              <w:t>太湖天光抽水蓄能电站</w:t>
            </w:r>
            <w:r>
              <w:rPr>
                <w:rFonts w:hint="eastAsia"/>
                <w:sz w:val="21"/>
                <w:szCs w:val="21"/>
                <w:lang w:val="en-US" w:eastAsia="zh-CN"/>
              </w:rPr>
              <w:t>天光</w:t>
            </w:r>
            <w:r>
              <w:rPr>
                <w:rFonts w:hint="eastAsia"/>
                <w:sz w:val="21"/>
                <w:szCs w:val="21"/>
              </w:rPr>
              <w:t>安置区地质灾害危险性评估报告</w:t>
            </w:r>
          </w:p>
        </w:tc>
        <w:tc>
          <w:tcPr>
            <w:tcW w:w="867" w:type="pct"/>
            <w:gridSpan w:val="2"/>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广东省水利电力勘测设计研究院股份有限公司</w:t>
            </w:r>
          </w:p>
        </w:tc>
        <w:tc>
          <w:tcPr>
            <w:tcW w:w="462" w:type="pct"/>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2025年9月</w:t>
            </w:r>
          </w:p>
        </w:tc>
        <w:tc>
          <w:tcPr>
            <w:tcW w:w="1854" w:type="pct"/>
            <w:gridSpan w:val="4"/>
            <w:noWrap w:val="0"/>
            <w:vAlign w:val="center"/>
          </w:tcPr>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（一）本评估项目为较重要建设项目，地质环境条件复杂程度属中等复杂类型。依据地质灾害评估技术要求，确定本项目建设场地地质灾害危险性评估级别为二级评估。</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（二）现状评估：根据野外地质灾害综合调查，评估区内无现状地质灾害。</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（三）预测评估：评估区内工程建设可能引发挖方边坡崩塌/滑坡地质灾害，其发育程度弱，危害程度大，危险性中等；可能遭受自然山体斜坡崩塌/滑坡地质灾害，其发育程度弱，危害程度小，危险性小。</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（四）将评估区划分为崩塌/滑坡地质灾害危险性中等和危险性小2个区，崩塌/滑坡地质灾害危险性中等区（Ⅰ）面积为8000m</w:t>
            </w:r>
            <w:r>
              <w:rPr>
                <w:rFonts w:hint="eastAsia"/>
                <w:sz w:val="18"/>
                <w:szCs w:val="18"/>
                <w:vertAlign w:val="superscript"/>
              </w:rPr>
              <w:t>2</w:t>
            </w:r>
            <w:r>
              <w:rPr>
                <w:rFonts w:hint="eastAsia"/>
                <w:sz w:val="18"/>
                <w:szCs w:val="18"/>
              </w:rPr>
              <w:t>，占评估区面积6.3%，为用地红线范围，属于主要工程建设区域；崩塌/滑坡地质灾害危险性小区（Ⅱ）面积为119428m</w:t>
            </w:r>
            <w:r>
              <w:rPr>
                <w:rFonts w:hint="eastAsia"/>
                <w:sz w:val="18"/>
                <w:szCs w:val="18"/>
                <w:vertAlign w:val="superscript"/>
              </w:rPr>
              <w:t>2</w:t>
            </w:r>
            <w:r>
              <w:rPr>
                <w:rFonts w:hint="eastAsia"/>
                <w:sz w:val="18"/>
                <w:szCs w:val="18"/>
              </w:rPr>
              <w:t>，占评估区面积93.7%，为用地红线范围外评估区范围，属于非工程建设区域。</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（五）建设用地的适宜性评价为：崩塌/滑坡地质灾害危险性中等区（Ⅰ）基本适宜，崩塌/滑坡地质灾害危险性小区（Ⅱ）为适宜。</w:t>
            </w:r>
          </w:p>
          <w:p>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sz w:val="18"/>
                <w:szCs w:val="18"/>
              </w:rPr>
            </w:pPr>
            <w:r>
              <w:rPr>
                <w:rFonts w:hint="eastAsia"/>
                <w:sz w:val="18"/>
                <w:szCs w:val="18"/>
              </w:rPr>
              <w:t>（六）本次评估工作不替代建设工程各阶段的工程地质勘察或有关的评价工作。</w:t>
            </w:r>
          </w:p>
        </w:tc>
        <w:tc>
          <w:tcPr>
            <w:tcW w:w="391" w:type="pct"/>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12.5</w:t>
            </w:r>
          </w:p>
        </w:tc>
        <w:tc>
          <w:tcPr>
            <w:tcW w:w="271"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二级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88"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eastAsia"/>
                <w:sz w:val="21"/>
                <w:szCs w:val="21"/>
                <w:lang w:val="en-US" w:eastAsia="zh-CN"/>
              </w:rPr>
              <w:t>3</w:t>
            </w:r>
          </w:p>
        </w:tc>
        <w:tc>
          <w:tcPr>
            <w:tcW w:w="963" w:type="pct"/>
            <w:gridSpan w:val="3"/>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rPr>
              <w:t>太湖天光抽水蓄能电站</w:t>
            </w:r>
            <w:r>
              <w:rPr>
                <w:rFonts w:hint="eastAsia"/>
                <w:sz w:val="21"/>
                <w:szCs w:val="21"/>
                <w:lang w:val="en-US" w:eastAsia="zh-CN"/>
              </w:rPr>
              <w:t>同义</w:t>
            </w:r>
            <w:r>
              <w:rPr>
                <w:rFonts w:hint="eastAsia"/>
                <w:sz w:val="21"/>
                <w:szCs w:val="21"/>
              </w:rPr>
              <w:t>安置区地质灾害危险性评估报告</w:t>
            </w:r>
          </w:p>
        </w:tc>
        <w:tc>
          <w:tcPr>
            <w:tcW w:w="867" w:type="pct"/>
            <w:gridSpan w:val="2"/>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广东省水利电力勘测设计研究院股份有限公司</w:t>
            </w:r>
          </w:p>
        </w:tc>
        <w:tc>
          <w:tcPr>
            <w:tcW w:w="462" w:type="pct"/>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2025年9月</w:t>
            </w:r>
          </w:p>
        </w:tc>
        <w:tc>
          <w:tcPr>
            <w:tcW w:w="1854" w:type="pct"/>
            <w:gridSpan w:val="4"/>
            <w:noWrap w:val="0"/>
            <w:vAlign w:val="center"/>
          </w:tcPr>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（一）本评估项目为较重要建设项目，地质环境条件复杂程度属中等复杂类型。依据地质灾害评估技术要求，确定本项目建设场地地质灾害危险性评估级别为二级评估。</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（二）现状评估：根据野外地质灾害综合调查，评估区内无现状地质灾害。</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（三）预测评估：评估区内工程建设可能引发挖方边坡崩塌/滑坡，其发育程度弱，危害程度小，危险性小；可能遭受自然山体斜坡崩塌/滑坡地质灾害，其发育程度弱，危害程度小，危险性小。</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（四）将整个评估区划分为崩塌/滑坡地质灾害危险性小区（Ⅰ），面积为56768m</w:t>
            </w:r>
            <w:r>
              <w:rPr>
                <w:rFonts w:hint="eastAsia"/>
                <w:sz w:val="18"/>
                <w:szCs w:val="18"/>
                <w:vertAlign w:val="superscript"/>
              </w:rPr>
              <w:t>2</w:t>
            </w:r>
            <w:r>
              <w:rPr>
                <w:rFonts w:hint="eastAsia"/>
                <w:sz w:val="18"/>
                <w:szCs w:val="18"/>
              </w:rPr>
              <w:t>，占评估区面积100%。</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（五）建设用地的适宜性评价为：崩塌/滑坡地质灾害危险性小区（Ⅰ）为适宜。</w:t>
            </w:r>
          </w:p>
          <w:p>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sz w:val="18"/>
                <w:szCs w:val="18"/>
              </w:rPr>
            </w:pPr>
            <w:r>
              <w:rPr>
                <w:rFonts w:hint="eastAsia"/>
                <w:sz w:val="18"/>
                <w:szCs w:val="18"/>
              </w:rPr>
              <w:t>（六）本次评估工作不替代建设工程各阶段的工程地质勘察或有关的评价工作。</w:t>
            </w:r>
          </w:p>
        </w:tc>
        <w:tc>
          <w:tcPr>
            <w:tcW w:w="391" w:type="pct"/>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lang w:val="en-US" w:eastAsia="zh-CN"/>
              </w:rPr>
            </w:pPr>
            <w:r>
              <w:rPr>
                <w:rFonts w:hint="eastAsia"/>
                <w:sz w:val="21"/>
                <w:szCs w:val="21"/>
                <w:lang w:val="en-US" w:eastAsia="zh-CN"/>
              </w:rPr>
              <w:t>12.5</w:t>
            </w:r>
          </w:p>
        </w:tc>
        <w:tc>
          <w:tcPr>
            <w:tcW w:w="271"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二级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88"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eastAsia"/>
                <w:sz w:val="21"/>
                <w:szCs w:val="21"/>
                <w:lang w:val="en-US" w:eastAsia="zh-CN"/>
              </w:rPr>
              <w:t>4</w:t>
            </w:r>
          </w:p>
        </w:tc>
        <w:tc>
          <w:tcPr>
            <w:tcW w:w="963" w:type="pct"/>
            <w:gridSpan w:val="3"/>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广东省深汕合作区引水工程第一批临时用地地质灾害危险性评估报告</w:t>
            </w:r>
          </w:p>
        </w:tc>
        <w:tc>
          <w:tcPr>
            <w:tcW w:w="867" w:type="pct"/>
            <w:gridSpan w:val="2"/>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广东省水利电力勘测设计研究院股份有限公司</w:t>
            </w:r>
          </w:p>
        </w:tc>
        <w:tc>
          <w:tcPr>
            <w:tcW w:w="462" w:type="pct"/>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2025年10月</w:t>
            </w:r>
          </w:p>
        </w:tc>
        <w:tc>
          <w:tcPr>
            <w:tcW w:w="1854" w:type="pct"/>
            <w:gridSpan w:val="4"/>
            <w:noWrap w:val="0"/>
            <w:vAlign w:val="center"/>
          </w:tcPr>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1、评估区内区域地质背景条件中等，气象水文条件中等，地形地貌条件中等，地层和岩石复杂程度为中等，地质构造条件简单，岩土体工程地质性质条件中等，水文地质条件简单，现状地质灾害及不良地质现象不发育，人类工程活动对地质环境的影响中等。综合评定评估区地质环境条件复杂程度为中等。</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2、本项目为一般建设项目，评估区地质环境条件复杂程度为中等，根据《广东省地质灾害危险性评估实施细则》第二十四条规定，将项目的地质灾害危险性评估等级确定为二级。</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3、根据野外地质灾害综合调查，评估区内无现状地质灾害。</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4、预测工程建设可能引发及遭受的地质灾害有崩塌/滑坡和地面沉降二种地质灾害，自然山体斜坡崩塌/滑坡和地面沉降地质灾害潜在危害小，危险性小。</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5、综合评估区地质环境条件、建设工程类型及特点和潜在地质灾害的危险性，将第一批临时用地红线内外分为两个不同的分区。其中用地红线范围内为危险性小区第一亚区（Ⅲ1），面积为8336.82m</w:t>
            </w:r>
            <w:r>
              <w:rPr>
                <w:rFonts w:hint="eastAsia"/>
                <w:sz w:val="18"/>
                <w:szCs w:val="18"/>
                <w:vertAlign w:val="superscript"/>
              </w:rPr>
              <w:t>2</w:t>
            </w:r>
            <w:r>
              <w:rPr>
                <w:rFonts w:hint="eastAsia"/>
                <w:sz w:val="18"/>
                <w:szCs w:val="18"/>
              </w:rPr>
              <w:t>，占评估区面积9.19%；用地红线范围外评估区为危险性小区（Ⅲ2），面积为82359.18m</w:t>
            </w:r>
            <w:r>
              <w:rPr>
                <w:rFonts w:hint="eastAsia"/>
                <w:sz w:val="18"/>
                <w:szCs w:val="18"/>
                <w:vertAlign w:val="superscript"/>
              </w:rPr>
              <w:t>2</w:t>
            </w:r>
            <w:r>
              <w:rPr>
                <w:rFonts w:hint="eastAsia"/>
                <w:sz w:val="18"/>
                <w:szCs w:val="18"/>
              </w:rPr>
              <w:t>，占评估区面积90.81%。</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6、第一批临时用地用地范围位于危险性小区内，其建设用地的适宜性为适宜。</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7、评估区地质灾害防治分级区划对应危险性分区划分为次重点防治区B和一般防治区C。防治措施包括工程措施、监测(预警)措施和生物措施3类，并以工程措施为主，监测(预警)措施和生物措施为辅。</w:t>
            </w:r>
          </w:p>
          <w:p>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sz w:val="18"/>
                <w:szCs w:val="18"/>
              </w:rPr>
            </w:pPr>
            <w:r>
              <w:rPr>
                <w:rFonts w:hint="eastAsia"/>
                <w:sz w:val="18"/>
                <w:szCs w:val="18"/>
              </w:rPr>
              <w:t>8、工程建设过程中及建成后应采取经济合理科学有效的措施，防止引发滑坡和地面沉降地质灾害，确保施工安全和正常使用。</w:t>
            </w:r>
          </w:p>
        </w:tc>
        <w:tc>
          <w:tcPr>
            <w:tcW w:w="391" w:type="pct"/>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14.0</w:t>
            </w:r>
          </w:p>
        </w:tc>
        <w:tc>
          <w:tcPr>
            <w:tcW w:w="271"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二级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88"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rPr>
            </w:pPr>
            <w:r>
              <w:rPr>
                <w:rFonts w:hint="eastAsia"/>
                <w:sz w:val="21"/>
                <w:szCs w:val="21"/>
                <w:lang w:val="en-US" w:eastAsia="zh-CN"/>
              </w:rPr>
              <w:t>5</w:t>
            </w:r>
          </w:p>
        </w:tc>
        <w:tc>
          <w:tcPr>
            <w:tcW w:w="963" w:type="pct"/>
            <w:gridSpan w:val="3"/>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广东省深汕合作区引水工程第二批临时用地地质灾害危险性评估报告</w:t>
            </w:r>
          </w:p>
        </w:tc>
        <w:tc>
          <w:tcPr>
            <w:tcW w:w="867" w:type="pct"/>
            <w:gridSpan w:val="2"/>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广东省水利电力勘测设计研究院股份有限公司</w:t>
            </w:r>
          </w:p>
        </w:tc>
        <w:tc>
          <w:tcPr>
            <w:tcW w:w="462" w:type="pct"/>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sz w:val="21"/>
                <w:szCs w:val="21"/>
                <w:lang w:val="en-US" w:eastAsia="zh-CN"/>
              </w:rPr>
              <w:t>2025年10月</w:t>
            </w:r>
          </w:p>
        </w:tc>
        <w:tc>
          <w:tcPr>
            <w:tcW w:w="1854" w:type="pct"/>
            <w:gridSpan w:val="4"/>
            <w:noWrap w:val="0"/>
            <w:vAlign w:val="center"/>
          </w:tcPr>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1、评估区内区域地质背景条件中等，气象水文条件中等，地形地貌条件中等，地层和岩石复杂程度为中等，地质构造条件简单，岩土体工程地质性质条件中等，水文地质条件简单，现状地质灾害及不良地质现象不发育，人类工程活动对地质环境的影响中等。综合评定评估区地质环境条件复杂程度为中等。</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2、本项目为一般建设项目，评估区地质环境条件复杂程度为中等，根据《广东省地质灾害危险性评估实施细则》第二十四条规定，将项目的地质灾害危险性评估等级确定为二级。</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3、根据野外地质灾害综合调查，评估区内无现状地质灾害。</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4、预测工程建设可能引发及遭受的地质灾害有崩塌/滑坡、泥石流和地面沉降二种地质灾害：其中，边坡崩塌/滑坡地质灾害潜在可能性中等，危险性中等；自然山体斜坡崩塌/滑坡、泥石流和地面沉降地质灾害潜在危害小，危险性小。</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5、综合评估区地质环境条件、建设工程类型及特点和潜在地质灾害的危险性，将评估区划为危险性中等区和危险性小区两个分区，其中危险性中等区(Ⅱ)面积为1424.03m</w:t>
            </w:r>
            <w:r>
              <w:rPr>
                <w:rFonts w:hint="eastAsia"/>
                <w:sz w:val="18"/>
                <w:szCs w:val="18"/>
                <w:vertAlign w:val="superscript"/>
              </w:rPr>
              <w:t>2</w:t>
            </w:r>
            <w:r>
              <w:rPr>
                <w:rFonts w:hint="eastAsia"/>
                <w:sz w:val="18"/>
                <w:szCs w:val="18"/>
              </w:rPr>
              <w:t>，占评估面积的7.73%，属于第二批临时用地主要工程建设区域；危险性小区(Ⅲ)，面积为17004.97m</w:t>
            </w:r>
            <w:r>
              <w:rPr>
                <w:rFonts w:hint="eastAsia"/>
                <w:sz w:val="18"/>
                <w:szCs w:val="18"/>
                <w:vertAlign w:val="superscript"/>
              </w:rPr>
              <w:t>2</w:t>
            </w:r>
            <w:r>
              <w:rPr>
                <w:rFonts w:hint="eastAsia"/>
                <w:sz w:val="18"/>
                <w:szCs w:val="18"/>
              </w:rPr>
              <w:t>，占评估面积的92.27%，属于非主要工程建设区域。</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6、第二批临时用地用地范围位于危险性中等区内，其建设用地的适宜性为基本适宜。</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7、评估区地质灾害防治分级区划对应危险性分区划分为次重点防治区B和一般防治区C。防治措施包括工程措施、监测(预警)措施和生物措施3类，并以工程措施为主，监测(预警)措施和生物措施为辅。</w:t>
            </w:r>
          </w:p>
          <w:p>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sz w:val="18"/>
                <w:szCs w:val="18"/>
              </w:rPr>
            </w:pPr>
            <w:r>
              <w:rPr>
                <w:rFonts w:hint="eastAsia"/>
                <w:sz w:val="18"/>
                <w:szCs w:val="18"/>
              </w:rPr>
              <w:t>8、工程建设过程中及建成后应采取经济合理科学有效的措施，防止引发崩塌/滑坡、泥石流和地面沉降地质灾害，确保施工安全和正常使用</w:t>
            </w:r>
          </w:p>
        </w:tc>
        <w:tc>
          <w:tcPr>
            <w:tcW w:w="391" w:type="pct"/>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lang w:val="en-US" w:eastAsia="zh-CN"/>
              </w:rPr>
            </w:pPr>
            <w:r>
              <w:rPr>
                <w:rFonts w:hint="eastAsia"/>
                <w:sz w:val="21"/>
                <w:szCs w:val="21"/>
                <w:lang w:val="en-US" w:eastAsia="zh-CN"/>
              </w:rPr>
              <w:t>14.0</w:t>
            </w:r>
          </w:p>
        </w:tc>
        <w:tc>
          <w:tcPr>
            <w:tcW w:w="271"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二级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88"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18"/>
                <w:szCs w:val="18"/>
                <w:lang w:val="en-US" w:eastAsia="zh-CN"/>
              </w:rPr>
            </w:pPr>
            <w:r>
              <w:rPr>
                <w:rFonts w:hint="eastAsia"/>
                <w:sz w:val="21"/>
                <w:szCs w:val="21"/>
                <w:lang w:val="en-US" w:eastAsia="zh-CN"/>
              </w:rPr>
              <w:t>6</w:t>
            </w:r>
          </w:p>
        </w:tc>
        <w:tc>
          <w:tcPr>
            <w:tcW w:w="963" w:type="pct"/>
            <w:gridSpan w:val="3"/>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18"/>
                <w:szCs w:val="18"/>
                <w:u w:val="none"/>
                <w:lang w:val="en-US" w:eastAsia="zh-CN" w:bidi="ar"/>
              </w:rPr>
            </w:pPr>
            <w:r>
              <w:rPr>
                <w:rFonts w:hint="eastAsia"/>
                <w:sz w:val="21"/>
                <w:szCs w:val="21"/>
              </w:rPr>
              <w:t>广东省封开县江口镇防洪工程地质灾害危险性评估报告</w:t>
            </w:r>
          </w:p>
        </w:tc>
        <w:tc>
          <w:tcPr>
            <w:tcW w:w="867" w:type="pct"/>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18"/>
                <w:szCs w:val="18"/>
                <w:u w:val="none"/>
                <w:lang w:val="en-US" w:eastAsia="zh-CN" w:bidi="ar"/>
              </w:rPr>
            </w:pPr>
            <w:r>
              <w:rPr>
                <w:rFonts w:hint="eastAsia"/>
                <w:sz w:val="21"/>
                <w:szCs w:val="21"/>
                <w:lang w:val="en-US" w:eastAsia="zh-CN"/>
              </w:rPr>
              <w:t>广东省水利电力勘测设计研究院股份有限公司</w:t>
            </w:r>
          </w:p>
        </w:tc>
        <w:tc>
          <w:tcPr>
            <w:tcW w:w="462" w:type="pct"/>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18"/>
                <w:szCs w:val="18"/>
                <w:u w:val="none"/>
                <w:lang w:val="en-US" w:eastAsia="zh-CN" w:bidi="ar"/>
              </w:rPr>
            </w:pPr>
            <w:r>
              <w:rPr>
                <w:rFonts w:hint="eastAsia"/>
                <w:sz w:val="21"/>
                <w:szCs w:val="21"/>
                <w:lang w:val="en-US" w:eastAsia="zh-CN"/>
              </w:rPr>
              <w:t>2022年4月</w:t>
            </w:r>
          </w:p>
        </w:tc>
        <w:tc>
          <w:tcPr>
            <w:tcW w:w="1854" w:type="pct"/>
            <w:gridSpan w:val="4"/>
            <w:noWrap w:val="0"/>
            <w:vAlign w:val="center"/>
          </w:tcPr>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1、评估区区域地质条件中等；地形地貌复杂程度中等；地层与岩石复杂程度中等；地质构造复杂程度为简单；岩土工程地质条件复杂程度为复杂；地下水类型主要由松散岩类孔隙水和层状岩类裂隙水两种，地下水对工程建设影响中等，水文地质条件复杂程度中等；人类工程活动对地质环境的影响程度为中等。综合判定评估区地质环境条件复杂程度为复杂。</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综合各地质环境因素对评估区的致灾作用，确定岩土工程地质条件与水文地质条件为主导因素，气象水文条件及人类工程活动为激发因素，其余为从属因素。</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2、本项目属一般建设项目，评估区地质环境条件复杂程度为复杂，因此将其地质灾害危险性评估等级确定为二级。</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3、评估区内发现2处滑坡现状地质灾害，其危害程度和危险性为小。</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4、预测工程建设引发或加剧的地质灾害类型主要为岸堤边坡崩塌/滑坡、基坑边坡崩塌/滑坡和地面沉降，工程本身还可能遭受基坑边坡崩塌/滑坡、岸堤边坡崩塌/滑坡、自然边坡崩塌/滑坡和地面沉降等地质灾害的影响。其中基坑边坡崩塌/滑坡的危害程度和危险性为小；岸堤边坡崩塌的危害程度中等～大，危险性中等～大，桩号D0+000～D0+333段岸堤边坡崩塌的危害程度大，危险性大，D0+333～D3+002段岸堤边坡崩塌的危害程度中等，危险性中等；自然边坡崩塌/滑坡的危害程度和危险性为小，地面沉降的危害程度和危险性为小。</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5、根据地质灾害危险性分区评价要素、量化指标、区段危险性判别原则及工程概况，将评估区划分为危险性大区（Ⅰ）、危险性中等区（Ⅱ）和危险性小区（Ⅲ）3个级别，其中：危险性大区（Ⅰ）面积为0.05km</w:t>
            </w:r>
            <w:r>
              <w:rPr>
                <w:rFonts w:hint="eastAsia"/>
                <w:sz w:val="18"/>
                <w:szCs w:val="18"/>
                <w:vertAlign w:val="superscript"/>
              </w:rPr>
              <w:t>2</w:t>
            </w:r>
            <w:r>
              <w:rPr>
                <w:rFonts w:hint="eastAsia"/>
                <w:sz w:val="18"/>
                <w:szCs w:val="18"/>
              </w:rPr>
              <w:t>，占评估区面积的1.41%；危险性中等区（Ⅱ）面积为0.74km</w:t>
            </w:r>
            <w:r>
              <w:rPr>
                <w:rFonts w:hint="eastAsia"/>
                <w:sz w:val="18"/>
                <w:szCs w:val="18"/>
                <w:vertAlign w:val="superscript"/>
              </w:rPr>
              <w:t>2</w:t>
            </w:r>
            <w:r>
              <w:rPr>
                <w:rFonts w:hint="eastAsia"/>
                <w:sz w:val="18"/>
                <w:szCs w:val="18"/>
              </w:rPr>
              <w:t>，占评估区面积的20.84%；危险性小区（Ⅲ）面积为2.76km</w:t>
            </w:r>
            <w:r>
              <w:rPr>
                <w:rFonts w:hint="eastAsia"/>
                <w:sz w:val="18"/>
                <w:szCs w:val="18"/>
                <w:vertAlign w:val="superscript"/>
              </w:rPr>
              <w:t>2</w:t>
            </w:r>
            <w:r>
              <w:rPr>
                <w:rFonts w:hint="eastAsia"/>
                <w:sz w:val="18"/>
                <w:szCs w:val="18"/>
              </w:rPr>
              <w:t>，占评估区面积的77.75%。</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6、在地质灾害危险性分区的基础上，结合地质环境条件、地质灾害危险性、危险性大小以及地质灾害防治难易程度四个方面进行综合分析，拟建项目适宜性为基本适宜～适宜性差，其中基本适宜路段的长度为2669m，占线路全长的88.91%；适宜性差路段的长度为333m，占线路全长的11.09%；综合确定本场地的建设用地适宜性为基本适宜。</w:t>
            </w:r>
          </w:p>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kern w:val="0"/>
                <w:sz w:val="18"/>
                <w:szCs w:val="18"/>
                <w:u w:val="none"/>
                <w:lang w:val="en-US" w:eastAsia="zh-CN" w:bidi="ar"/>
              </w:rPr>
            </w:pPr>
            <w:r>
              <w:rPr>
                <w:rFonts w:hint="eastAsia"/>
                <w:sz w:val="18"/>
                <w:szCs w:val="18"/>
              </w:rPr>
              <w:t>7、对于地质灾害防治，危险性大区（Ⅰ）划分为重点防治区（A）；危险性中区（Ⅱ）划分为次重点防治区（B）；危险性小区（Ⅲ）划分为一般防治区（C）。评估区地质灾害防治采用工程措施为主、生物措施和监测措施为辅。</w:t>
            </w:r>
          </w:p>
        </w:tc>
        <w:tc>
          <w:tcPr>
            <w:tcW w:w="391" w:type="pct"/>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18"/>
                <w:szCs w:val="18"/>
                <w:u w:val="none"/>
                <w:lang w:val="en-US" w:eastAsia="zh-CN" w:bidi="ar"/>
              </w:rPr>
            </w:pPr>
            <w:r>
              <w:rPr>
                <w:rFonts w:hint="eastAsia"/>
                <w:sz w:val="21"/>
                <w:szCs w:val="21"/>
                <w:lang w:val="en-US" w:eastAsia="zh-CN"/>
              </w:rPr>
              <w:t>15.0</w:t>
            </w:r>
          </w:p>
        </w:tc>
        <w:tc>
          <w:tcPr>
            <w:tcW w:w="271"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88"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18"/>
                <w:szCs w:val="18"/>
                <w:lang w:val="en-US" w:eastAsia="zh-CN"/>
              </w:rPr>
            </w:pPr>
            <w:r>
              <w:rPr>
                <w:rFonts w:hint="eastAsia"/>
                <w:sz w:val="21"/>
                <w:szCs w:val="21"/>
                <w:lang w:val="en-US" w:eastAsia="zh-CN"/>
              </w:rPr>
              <w:t>7</w:t>
            </w:r>
          </w:p>
        </w:tc>
        <w:tc>
          <w:tcPr>
            <w:tcW w:w="963" w:type="pct"/>
            <w:gridSpan w:val="3"/>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18"/>
                <w:szCs w:val="18"/>
                <w:u w:val="none"/>
                <w:lang w:val="en-US" w:eastAsia="zh-CN" w:bidi="ar"/>
              </w:rPr>
            </w:pPr>
            <w:r>
              <w:rPr>
                <w:rFonts w:hint="eastAsia"/>
                <w:sz w:val="21"/>
                <w:szCs w:val="21"/>
              </w:rPr>
              <w:t>广东省封开县</w:t>
            </w:r>
            <w:r>
              <w:rPr>
                <w:rFonts w:hint="eastAsia"/>
                <w:sz w:val="21"/>
                <w:szCs w:val="21"/>
                <w:lang w:val="en-US" w:eastAsia="zh-CN"/>
              </w:rPr>
              <w:t>南丰</w:t>
            </w:r>
            <w:r>
              <w:rPr>
                <w:rFonts w:hint="eastAsia"/>
                <w:sz w:val="21"/>
                <w:szCs w:val="21"/>
              </w:rPr>
              <w:t>镇防洪工程地质灾害危险性评估报告</w:t>
            </w:r>
          </w:p>
        </w:tc>
        <w:tc>
          <w:tcPr>
            <w:tcW w:w="867" w:type="pct"/>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18"/>
                <w:szCs w:val="18"/>
                <w:u w:val="none"/>
                <w:lang w:val="en-US" w:eastAsia="zh-CN" w:bidi="ar"/>
              </w:rPr>
            </w:pPr>
            <w:r>
              <w:rPr>
                <w:rFonts w:hint="eastAsia"/>
                <w:sz w:val="21"/>
                <w:szCs w:val="21"/>
                <w:lang w:val="en-US" w:eastAsia="zh-CN"/>
              </w:rPr>
              <w:t>广东省水利电力勘测设计研究院股份有限公司</w:t>
            </w:r>
          </w:p>
        </w:tc>
        <w:tc>
          <w:tcPr>
            <w:tcW w:w="462" w:type="pct"/>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18"/>
                <w:szCs w:val="18"/>
                <w:u w:val="none"/>
                <w:lang w:val="en-US" w:eastAsia="zh-CN" w:bidi="ar"/>
              </w:rPr>
            </w:pPr>
            <w:r>
              <w:rPr>
                <w:rFonts w:hint="eastAsia"/>
                <w:sz w:val="21"/>
                <w:szCs w:val="21"/>
                <w:lang w:val="en-US" w:eastAsia="zh-CN"/>
              </w:rPr>
              <w:t>2022年4月</w:t>
            </w:r>
          </w:p>
        </w:tc>
        <w:tc>
          <w:tcPr>
            <w:tcW w:w="1854" w:type="pct"/>
            <w:gridSpan w:val="4"/>
            <w:noWrap w:val="0"/>
            <w:vAlign w:val="center"/>
          </w:tcPr>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1、评估区区域地质背景条件中等，地形地貌条件中等，地质构造条件简单，地层岩性和岩土体工程地质性质条件复杂，水文地质条件中等，人类活动对地质环境的影响条件中等，综合判定评估区地质环境条件复杂程度为复杂。</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2、本项目为一般建设项目，评估区地质环境条件复杂程度为复杂，地质灾害危险性评估等级确定为二级。</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3、根据野外地质灾害综合调查，评估区内已发的地质灾害类型为崩塌和地面沉降2种。其中崩塌1处，分布南渡桥上游自然岸坡的河岸边坡中，规模为微型，其危害程度和危险性为小；地面沉降5处，分布在道路路面及房屋墙体，规模均为小型，其危害程度和危险性均为小。</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4、预测工程建设可能引发及遭受的地质灾害类型为为自然山体边坡崩塌/滑坡、基坑边坡崩塌/滑坡、堤岸边坡崩塌/滑坡和地面沉降。自然山坡发生边坡崩塌/滑坡地质灾害可能性小，危害程度小，危险性小；基坑边坡发生崩塌/滑坡地质灾害可能性大，危害程度小，危险性中等，分布桩号为NF0+040～NF0+085（龙湾尾水闸、泵站基坑影响范围）和NF0+730～NF0+810（龙吟桥一体化闸泵基坑影响范围）；堤岸边坡发生崩塌/滑坡地质灾害可能性小，危害程度小，危险性小；地面沉降地质灾害发育程度中等段分布于南渡桥上游土堤段，桩号NF1+276～NF2+223，危害程度中等，危险性中等；地面沉降地质灾害发育程度弱段分布于南渡桥下游防洪墙段，桩号NF0+000～NF2+276，危害程度小，危险性小。</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5、评估区总面积为1.6234km</w:t>
            </w:r>
            <w:r>
              <w:rPr>
                <w:rFonts w:hint="eastAsia"/>
                <w:sz w:val="18"/>
                <w:szCs w:val="18"/>
                <w:vertAlign w:val="superscript"/>
              </w:rPr>
              <w:t>2</w:t>
            </w:r>
            <w:r>
              <w:rPr>
                <w:rFonts w:hint="eastAsia"/>
                <w:sz w:val="18"/>
                <w:szCs w:val="18"/>
              </w:rPr>
              <w:t>，综合评估区地质环境条件、建设工程类型及特点和潜在地质灾害的危险性，将评估区划为将评估区地质灾害危险性划分为危险性中等区和危险性小区两个级别区。其中危险性中等区总面积为0.1082km</w:t>
            </w:r>
            <w:r>
              <w:rPr>
                <w:rFonts w:hint="eastAsia"/>
                <w:sz w:val="18"/>
                <w:szCs w:val="18"/>
                <w:vertAlign w:val="superscript"/>
              </w:rPr>
              <w:t>2</w:t>
            </w:r>
            <w:r>
              <w:rPr>
                <w:rFonts w:hint="eastAsia"/>
                <w:sz w:val="18"/>
                <w:szCs w:val="18"/>
              </w:rPr>
              <w:t>，占评估区面积的6.67%，区内线路长度1.072km，占线路总长度的48.22%，细分为3个亚区；危险性小区总面积为1.5152km</w:t>
            </w:r>
            <w:r>
              <w:rPr>
                <w:rFonts w:hint="eastAsia"/>
                <w:sz w:val="18"/>
                <w:szCs w:val="18"/>
                <w:vertAlign w:val="superscript"/>
              </w:rPr>
              <w:t>2</w:t>
            </w:r>
            <w:r>
              <w:rPr>
                <w:rFonts w:hint="eastAsia"/>
                <w:sz w:val="18"/>
                <w:szCs w:val="18"/>
              </w:rPr>
              <w:t>，占评估区面积的93.33%，区内线路长度1.151km，占线路总长度的51.78%，细分为4个亚区。</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6、拟建工程为防洪工程，为线性工程，线路总长2223m，其建设场地的适宜性可划分为基本适宜和适宜两个级别，其中基本适宜的线路长度为1072m，占线路总长度的48.22%；适宜的线路长度为1151m，占线路总长度的51.78%。因此，根据建设用地适宜性分级原则，拟建项目建设用地的适宜性为基本适宜。</w:t>
            </w:r>
          </w:p>
          <w:p>
            <w:pPr>
              <w:keepNext w:val="0"/>
              <w:keepLines w:val="0"/>
              <w:suppressLineNumbers w:val="0"/>
              <w:spacing w:before="0" w:beforeAutospacing="0" w:after="0" w:afterAutospacing="0"/>
              <w:ind w:left="0" w:right="0"/>
              <w:jc w:val="left"/>
              <w:rPr>
                <w:rFonts w:hint="eastAsia"/>
                <w:sz w:val="18"/>
                <w:szCs w:val="18"/>
              </w:rPr>
            </w:pPr>
            <w:r>
              <w:rPr>
                <w:rFonts w:hint="eastAsia"/>
                <w:sz w:val="18"/>
                <w:szCs w:val="18"/>
              </w:rPr>
              <w:t>7、根据地质灾害的危害对象、危险性及地质灾害类型的组合特征，将评估区内潜在地质灾害的防治划分为次重点防治区（B）和一般防治区（C）两个级别区，可采用工程措施、监测措施和生物措施进行防治。</w:t>
            </w:r>
          </w:p>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kern w:val="0"/>
                <w:sz w:val="18"/>
                <w:szCs w:val="18"/>
                <w:u w:val="none"/>
                <w:lang w:val="en-US" w:eastAsia="zh-CN" w:bidi="ar"/>
              </w:rPr>
            </w:pPr>
            <w:r>
              <w:rPr>
                <w:rFonts w:hint="eastAsia"/>
                <w:sz w:val="18"/>
                <w:szCs w:val="18"/>
              </w:rPr>
              <w:t>8、工程建设过程中及建成后应采取经济合理科学有效的措施，防止引发地质灾害，确保施工安全和正常使用。</w:t>
            </w:r>
          </w:p>
        </w:tc>
        <w:tc>
          <w:tcPr>
            <w:tcW w:w="391" w:type="pct"/>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18"/>
                <w:szCs w:val="18"/>
                <w:u w:val="none"/>
                <w:lang w:val="en-US" w:eastAsia="zh-CN" w:bidi="ar"/>
              </w:rPr>
            </w:pPr>
            <w:r>
              <w:rPr>
                <w:rFonts w:hint="eastAsia"/>
                <w:sz w:val="21"/>
                <w:szCs w:val="21"/>
                <w:lang w:val="en-US" w:eastAsia="zh-CN"/>
              </w:rPr>
              <w:t>15.0</w:t>
            </w:r>
          </w:p>
        </w:tc>
        <w:tc>
          <w:tcPr>
            <w:tcW w:w="271"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二级</w:t>
            </w:r>
          </w:p>
        </w:tc>
      </w:tr>
    </w:tbl>
    <w:p>
      <w:pPr>
        <w:jc w:val="center"/>
        <w:rPr>
          <w:rFonts w:hint="default" w:ascii="Times New Roman" w:hAnsi="Times New Roman" w:eastAsia="方正小标宋简体" w:cs="Times New Roman"/>
          <w:kern w:val="2"/>
          <w:sz w:val="36"/>
          <w:szCs w:val="36"/>
          <w:lang w:val="en-US" w:eastAsia="zh-CN" w:bidi="ar"/>
        </w:rPr>
      </w:pPr>
    </w:p>
    <w:p>
      <w:pPr>
        <w:rPr>
          <w:rFonts w:hint="default" w:ascii="Times New Roman" w:hAnsi="Times New Roman" w:eastAsia="仿宋_GB2312" w:cs="Times New Roman"/>
          <w:kern w:val="2"/>
          <w:sz w:val="32"/>
          <w:szCs w:val="32"/>
          <w:lang w:val="en-US" w:eastAsia="zh-CN" w:bidi="ar"/>
        </w:rPr>
      </w:pPr>
    </w:p>
    <w:sectPr>
      <w:pgSz w:w="16837" w:h="23811"/>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455B28"/>
    <w:rsid w:val="170A1BCD"/>
    <w:rsid w:val="1950600A"/>
    <w:rsid w:val="23751C8D"/>
    <w:rsid w:val="31736DB9"/>
    <w:rsid w:val="3565748F"/>
    <w:rsid w:val="3A3F2F39"/>
    <w:rsid w:val="3EFF60FB"/>
    <w:rsid w:val="3F3F8D7C"/>
    <w:rsid w:val="462522A8"/>
    <w:rsid w:val="4C0F03BA"/>
    <w:rsid w:val="56601D9F"/>
    <w:rsid w:val="57969F9D"/>
    <w:rsid w:val="5CA57435"/>
    <w:rsid w:val="63DFB69B"/>
    <w:rsid w:val="6EE72F1A"/>
    <w:rsid w:val="731A5505"/>
    <w:rsid w:val="7673F473"/>
    <w:rsid w:val="77DFF0A8"/>
    <w:rsid w:val="7FFDC29D"/>
    <w:rsid w:val="BF4F783C"/>
    <w:rsid w:val="D9FA531C"/>
    <w:rsid w:val="DDFDBE7F"/>
    <w:rsid w:val="EBE74CA6"/>
    <w:rsid w:val="EFFC6810"/>
    <w:rsid w:val="EFFE2D09"/>
    <w:rsid w:val="F3FF2F7C"/>
    <w:rsid w:val="FEF1D5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7">
    <w:name w:val="Table Paragraph"/>
    <w:basedOn w:val="1"/>
    <w:qFormat/>
    <w:uiPriority w:val="0"/>
  </w:style>
  <w:style w:type="character" w:customStyle="1" w:styleId="8">
    <w:name w:val="font31"/>
    <w:basedOn w:val="6"/>
    <w:qFormat/>
    <w:uiPriority w:val="0"/>
    <w:rPr>
      <w:rFonts w:hint="default" w:ascii="Times New Roman" w:hAnsi="Times New Roman" w:cs="Times New Roman"/>
      <w:color w:val="000000"/>
      <w:sz w:val="22"/>
      <w:szCs w:val="22"/>
      <w:u w:val="none"/>
    </w:rPr>
  </w:style>
  <w:style w:type="character" w:customStyle="1" w:styleId="9">
    <w:name w:val="font0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5432</Words>
  <Characters>5826</Characters>
  <Lines>1</Lines>
  <Paragraphs>1</Paragraphs>
  <TotalTime>60</TotalTime>
  <ScaleCrop>false</ScaleCrop>
  <LinksUpToDate>false</LinksUpToDate>
  <CharactersWithSpaces>5828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2024-05-24T03:08:00Z</dcterms:created>
  <dc:creator>guest</dc:creator>
  <cp:lastModifiedBy>童丹龄</cp:lastModifiedBy>
  <cp:lastPrinted>2024-12-12T17:34:00Z</cp:lastPrinted>
  <dcterms:modified xsi:type="dcterms:W3CDTF">2026-03-16T07:52:48Z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A7F28D9E7EC340DBA4AC694416BCC5FE</vt:lpwstr>
  </property>
  <property fmtid="{D5CDD505-2E9C-101B-9397-08002B2CF9AE}" pid="4" name="KSOTemplateDocerSaveRecord">
    <vt:lpwstr>eyJoZGlkIjoiNmMxNjZlOThiOWQ5YjRkNzEzMDc0OTJlY2Q0MWY5ODYiLCJ1c2VySWQiOiI1OTMxNTU2NjQifQ==</vt:lpwstr>
  </property>
</Properties>
</file>