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ind w:left="0" w:right="0"/>
        <w:jc w:val="both"/>
        <w:rPr>
          <w:rFonts w:hint="eastAsia" w:ascii="仿宋_GB2312" w:hAnsi="Calibri" w:eastAsia="仿宋_GB2312" w:cs="仿宋_GB2312"/>
          <w:b w:val="0"/>
          <w:bCs w:val="0"/>
          <w:kern w:val="0"/>
          <w:sz w:val="32"/>
          <w:szCs w:val="32"/>
          <w:lang w:eastAsia="zh"/>
        </w:rPr>
      </w:pPr>
      <w:bookmarkStart w:id="0" w:name="hasVal"/>
      <w:bookmarkStart w:id="1" w:name="quanwen"/>
      <w:r>
        <w:rPr>
          <w:rFonts w:hint="eastAsia" w:ascii="仿宋_GB2312" w:hAnsi="Calibri" w:eastAsia="仿宋_GB2312" w:cs="仿宋_GB2312"/>
          <w:b w:val="0"/>
          <w:bCs w:val="0"/>
          <w:kern w:val="0"/>
          <w:sz w:val="32"/>
          <w:szCs w:val="32"/>
          <w:lang w:eastAsia="zh"/>
        </w:rPr>
        <w:t>附件</w:t>
      </w:r>
    </w:p>
    <w:p>
      <w:pPr>
        <w:keepNext w:val="0"/>
        <w:keepLines w:val="0"/>
        <w:widowControl w:val="0"/>
        <w:suppressLineNumbers w:val="0"/>
        <w:autoSpaceDE w:val="0"/>
        <w:autoSpaceDN/>
        <w:spacing w:before="0" w:beforeAutospacing="0" w:after="0" w:afterAutospacing="0" w:line="580" w:lineRule="exact"/>
        <w:ind w:left="0" w:leftChars="0" w:right="0" w:firstLine="0" w:firstLineChars="0"/>
        <w:jc w:val="center"/>
        <w:rPr>
          <w:rFonts w:hint="eastAsia" w:ascii="Calibri" w:hAnsi="Calibri" w:eastAsia="仿宋_GB2312" w:cs="Times New Roman"/>
          <w:kern w:val="2"/>
          <w:sz w:val="32"/>
          <w:szCs w:val="32"/>
        </w:rPr>
      </w:pPr>
      <w:r>
        <w:rPr>
          <w:rFonts w:hint="eastAsia" w:ascii="方正小标宋简体" w:hAnsi="方正小标宋简体" w:eastAsia="方正小标宋简体" w:cs="方正小标宋简体"/>
          <w:kern w:val="0"/>
          <w:sz w:val="44"/>
          <w:szCs w:val="44"/>
          <w:lang w:val="en-US" w:eastAsia="zh-CN" w:bidi="ar"/>
        </w:rPr>
        <w:t>广东省自然资源厅2026年度行政检查计划</w:t>
      </w:r>
    </w:p>
    <w:tbl>
      <w:tblPr>
        <w:tblStyle w:val="4"/>
        <w:tblW w:w="52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8"/>
        <w:gridCol w:w="664"/>
        <w:gridCol w:w="818"/>
        <w:gridCol w:w="2025"/>
        <w:gridCol w:w="1036"/>
        <w:gridCol w:w="3335"/>
        <w:gridCol w:w="1642"/>
        <w:gridCol w:w="776"/>
        <w:gridCol w:w="939"/>
        <w:gridCol w:w="852"/>
        <w:gridCol w:w="1139"/>
        <w:gridCol w:w="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7" w:hRule="atLeast"/>
        </w:trPr>
        <w:tc>
          <w:tcPr>
            <w:tcW w:w="15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序号</w:t>
            </w:r>
          </w:p>
        </w:tc>
        <w:tc>
          <w:tcPr>
            <w:tcW w:w="226"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检查事项名称</w:t>
            </w:r>
          </w:p>
        </w:tc>
        <w:tc>
          <w:tcPr>
            <w:tcW w:w="278"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职权设定依据</w:t>
            </w:r>
          </w:p>
        </w:tc>
        <w:tc>
          <w:tcPr>
            <w:tcW w:w="690"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检查实施依据</w:t>
            </w:r>
          </w:p>
        </w:tc>
        <w:tc>
          <w:tcPr>
            <w:tcW w:w="353"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检查</w:t>
            </w:r>
          </w:p>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对象</w:t>
            </w:r>
          </w:p>
        </w:tc>
        <w:tc>
          <w:tcPr>
            <w:tcW w:w="1137"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right="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检查内容</w:t>
            </w:r>
          </w:p>
        </w:tc>
        <w:tc>
          <w:tcPr>
            <w:tcW w:w="559"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right="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检查标准</w:t>
            </w:r>
          </w:p>
        </w:tc>
        <w:tc>
          <w:tcPr>
            <w:tcW w:w="584" w:type="pct"/>
            <w:gridSpan w:val="2"/>
            <w:tcBorders>
              <w:top w:val="single" w:color="auto" w:sz="4" w:space="0"/>
              <w:left w:val="nil"/>
              <w:bottom w:val="nil"/>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检查方式</w:t>
            </w:r>
          </w:p>
        </w:tc>
        <w:tc>
          <w:tcPr>
            <w:tcW w:w="290"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检查</w:t>
            </w:r>
          </w:p>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比例</w:t>
            </w:r>
          </w:p>
        </w:tc>
        <w:tc>
          <w:tcPr>
            <w:tcW w:w="388"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计划检查时间</w:t>
            </w:r>
          </w:p>
        </w:tc>
        <w:tc>
          <w:tcPr>
            <w:tcW w:w="335" w:type="pct"/>
            <w:vMerge w:val="restart"/>
            <w:tcBorders>
              <w:top w:val="single" w:color="auto" w:sz="4" w:space="0"/>
              <w:left w:val="nil"/>
              <w:bottom w:val="single" w:color="auto" w:sz="4" w:space="0"/>
              <w:right w:val="single" w:color="auto" w:sz="4" w:space="0"/>
            </w:tcBorders>
            <w:shd w:val="clear" w:color="auto" w:fill="auto"/>
            <w:vAlign w:val="top"/>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left"/>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同一企业年度最大检查频次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15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226"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278"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90"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353"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137"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559"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26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80" w:lineRule="exact"/>
              <w:ind w:left="0" w:leftChars="0" w:right="0" w:rightChars="0" w:firstLine="0" w:firstLineChars="0"/>
              <w:jc w:val="center"/>
              <w:rPr>
                <w:rFonts w:hint="eastAsia" w:ascii="黑体" w:hAnsi="宋体" w:eastAsia="黑体" w:cs="黑体"/>
                <w:b/>
                <w:bCs/>
                <w:kern w:val="0"/>
                <w:sz w:val="24"/>
                <w:szCs w:val="24"/>
              </w:rPr>
            </w:pPr>
          </w:p>
          <w:p>
            <w:pPr>
              <w:keepNext w:val="0"/>
              <w:keepLines w:val="0"/>
              <w:widowControl/>
              <w:suppressLineNumbers w:val="0"/>
              <w:autoSpaceDE w:val="0"/>
              <w:autoSpaceDN/>
              <w:spacing w:before="0" w:beforeAutospacing="0" w:after="0" w:afterAutospacing="0" w:line="280" w:lineRule="exact"/>
              <w:ind w:left="0" w:leftChars="0" w:right="0" w:rightChars="0" w:firstLine="0" w:firstLineChars="0"/>
              <w:jc w:val="center"/>
              <w:rPr>
                <w:rFonts w:hint="eastAsia" w:ascii="黑体" w:hAnsi="宋体" w:eastAsia="黑体" w:cs="黑体"/>
                <w:kern w:val="2"/>
                <w:sz w:val="21"/>
                <w:szCs w:val="21"/>
              </w:rPr>
            </w:pPr>
          </w:p>
        </w:tc>
        <w:tc>
          <w:tcPr>
            <w:tcW w:w="319"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80" w:lineRule="exact"/>
              <w:ind w:left="0" w:leftChars="0" w:right="0" w:rightChars="0" w:firstLine="0" w:firstLineChars="0"/>
              <w:jc w:val="center"/>
              <w:rPr>
                <w:rFonts w:hint="eastAsia" w:ascii="黑体" w:hAnsi="宋体" w:eastAsia="黑体" w:cs="黑体"/>
                <w:kern w:val="2"/>
                <w:sz w:val="21"/>
                <w:szCs w:val="21"/>
              </w:rPr>
            </w:pPr>
            <w:r>
              <w:rPr>
                <w:rFonts w:hint="eastAsia" w:ascii="黑体" w:hAnsi="宋体" w:eastAsia="黑体" w:cs="黑体"/>
                <w:b/>
                <w:bCs/>
                <w:kern w:val="0"/>
                <w:sz w:val="21"/>
                <w:szCs w:val="21"/>
                <w:lang w:val="en-US" w:eastAsia="zh-CN" w:bidi="ar"/>
              </w:rPr>
              <w:t>是否双随机一公开</w:t>
            </w:r>
          </w:p>
        </w:tc>
        <w:tc>
          <w:tcPr>
            <w:tcW w:w="290"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388"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335" w:type="pct"/>
            <w:vMerge w:val="continue"/>
            <w:tcBorders>
              <w:top w:val="single" w:color="auto" w:sz="4" w:space="0"/>
              <w:left w:val="nil"/>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90" w:hRule="atLeast"/>
        </w:trPr>
        <w:tc>
          <w:tcPr>
            <w:tcW w:w="15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0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1</w:t>
            </w:r>
          </w:p>
        </w:tc>
        <w:tc>
          <w:tcPr>
            <w:tcW w:w="22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对地质勘查活动和地质灾害防治单位的监督检查</w:t>
            </w:r>
          </w:p>
        </w:tc>
        <w:tc>
          <w:tcPr>
            <w:tcW w:w="27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《地质灾害防治单位资质管理办法》（自然资源部令第8号）第六条</w:t>
            </w:r>
          </w:p>
        </w:tc>
        <w:tc>
          <w:tcPr>
            <w:tcW w:w="690"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6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1.《地质灾害防治条例》（国务院令第394号）</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6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2.《国务院关于取消一批行政许可事项的决定》（国发〔2017〕46号）</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6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3.《地质灾害防治单位资质管理办法》（自然资源部令第8号）</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6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4.《自然资源部关于印发〈地质勘查活动监督管理办法〉的通知》（自然资规〔2025〕4号）</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6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5.《广东省行政检查办法》（粤府令第272号）</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6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6.《广东省人民政府关于取消和调整实施一批省级权责清单事项的决定》（粤府〔2020〕1号</w:t>
            </w:r>
          </w:p>
        </w:tc>
        <w:tc>
          <w:tcPr>
            <w:tcW w:w="353"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6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国有地勘单位、地质灾害防治单位、承担本地区地质勘查和地质灾害防治项目的单位及其他从事地质勘查和地质灾害防治活动的单位</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60" w:lineRule="exact"/>
              <w:ind w:left="0" w:leftChars="0" w:right="0" w:firstLine="0" w:firstLineChars="0"/>
              <w:jc w:val="both"/>
              <w:textAlignment w:val="auto"/>
              <w:rPr>
                <w:rFonts w:hint="eastAsia" w:ascii="仿宋_GB2312" w:hAnsi="Calibri" w:eastAsia="仿宋_GB2312" w:cs="仿宋_GB2312"/>
                <w:kern w:val="0"/>
                <w:sz w:val="21"/>
                <w:szCs w:val="21"/>
              </w:rPr>
            </w:pP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60" w:lineRule="exact"/>
              <w:ind w:left="0" w:leftChars="0" w:right="0" w:firstLine="0" w:firstLineChars="0"/>
              <w:jc w:val="both"/>
              <w:textAlignment w:val="auto"/>
              <w:rPr>
                <w:rFonts w:hint="eastAsia" w:ascii="仿宋_GB2312" w:hAnsi="Calibri" w:eastAsia="仿宋_GB2312" w:cs="仿宋_GB2312"/>
                <w:kern w:val="0"/>
                <w:sz w:val="21"/>
                <w:szCs w:val="21"/>
              </w:rPr>
            </w:pPr>
          </w:p>
        </w:tc>
        <w:tc>
          <w:tcPr>
            <w:tcW w:w="113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6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一、地质勘查和地质灾害防治单位共同检查内容：1.是否</w:t>
            </w:r>
            <w:r>
              <w:rPr>
                <w:rFonts w:hint="eastAsia" w:ascii="仿宋_GB2312" w:hAnsi="Calibri" w:eastAsia="仿宋_GB2312" w:cs="仿宋_GB2312"/>
                <w:kern w:val="0"/>
                <w:sz w:val="21"/>
                <w:szCs w:val="21"/>
                <w:lang w:val="en-US" w:eastAsia="zh" w:bidi="ar"/>
              </w:rPr>
              <w:t>符合</w:t>
            </w:r>
            <w:r>
              <w:rPr>
                <w:rFonts w:hint="eastAsia" w:ascii="仿宋_GB2312" w:hAnsi="Calibri" w:eastAsia="仿宋_GB2312" w:cs="仿宋_GB2312"/>
                <w:kern w:val="0"/>
                <w:sz w:val="21"/>
                <w:szCs w:val="21"/>
                <w:lang w:val="en-US" w:eastAsia="zh-CN" w:bidi="ar"/>
              </w:rPr>
              <w:t>地质灾害勘查活动监管管理有关要求和相关标准规范；2.地质勘查和地质灾害防治活动中是否存在弄虚作假行为；3.是否及时在监管平台填报公示地质勘查和地质灾害防治活动信息；4.内部管理是否规范。包括质量和安全管理体系、资料档案、保密管理等制度建设实施情况；5.贯彻落实《自然资源部关于加强地质勘查和测绘行业安全生产管理的指导意见》情况；6.是否根据安全生产问题隐患和整改措施清单，及时消除安全隐患。</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6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二、地质灾害防治单位专项检查内容：1.是否存在无资质证书或超越资质许可违法承揽地质灾害防治业务，以其它单位的名义或允许其它单位以本单位的名义承揽地质灾害防治业务；2.技术人员、设备等条件变化情况；3.是否及时办理地质灾害防治资质变更、注销或项目备案等手续。</w:t>
            </w:r>
          </w:p>
        </w:tc>
        <w:tc>
          <w:tcPr>
            <w:tcW w:w="559"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《自然资源部关于印发〈地质勘查活动监督管理办法〉的通知》（自然资规〔2025〕4号）</w:t>
            </w:r>
          </w:p>
        </w:tc>
        <w:tc>
          <w:tcPr>
            <w:tcW w:w="264"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内业核查、实地随机抽 查</w:t>
            </w:r>
          </w:p>
        </w:tc>
        <w:tc>
          <w:tcPr>
            <w:tcW w:w="319"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center"/>
              <w:textAlignment w:val="auto"/>
              <w:rPr>
                <w:rFonts w:hint="eastAsia" w:ascii="仿宋_GB2312" w:hAnsi="Calibri" w:eastAsia="仿宋_GB2312" w:cs="仿宋_GB2312"/>
                <w:kern w:val="0"/>
                <w:sz w:val="21"/>
                <w:szCs w:val="21"/>
                <w:lang w:eastAsia="zh"/>
              </w:rPr>
            </w:pPr>
            <w:r>
              <w:rPr>
                <w:rFonts w:hint="eastAsia" w:ascii="仿宋_GB2312" w:hAnsi="Calibri" w:eastAsia="仿宋_GB2312" w:cs="仿宋_GB2312"/>
                <w:kern w:val="0"/>
                <w:sz w:val="21"/>
                <w:szCs w:val="21"/>
                <w:lang w:val="en-US" w:eastAsia="zh" w:bidi="ar"/>
              </w:rPr>
              <w:t>是</w:t>
            </w:r>
          </w:p>
        </w:tc>
        <w:tc>
          <w:tcPr>
            <w:tcW w:w="290"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不低于20%</w:t>
            </w:r>
          </w:p>
        </w:tc>
        <w:tc>
          <w:tcPr>
            <w:tcW w:w="38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202</w:t>
            </w:r>
            <w:r>
              <w:rPr>
                <w:rFonts w:hint="eastAsia" w:ascii="仿宋_GB2312" w:hAnsi="Calibri" w:eastAsia="仿宋_GB2312" w:cs="仿宋_GB2312"/>
                <w:kern w:val="0"/>
                <w:sz w:val="21"/>
                <w:szCs w:val="21"/>
                <w:lang w:val="en-US" w:eastAsia="zh" w:bidi="ar"/>
              </w:rPr>
              <w:t>6</w:t>
            </w:r>
            <w:r>
              <w:rPr>
                <w:rFonts w:hint="eastAsia" w:ascii="仿宋_GB2312" w:hAnsi="Calibri" w:eastAsia="仿宋_GB2312" w:cs="仿宋_GB2312"/>
                <w:kern w:val="0"/>
                <w:sz w:val="21"/>
                <w:szCs w:val="21"/>
                <w:lang w:val="en-US" w:eastAsia="zh-CN" w:bidi="ar"/>
              </w:rPr>
              <w:t>年5至11月</w:t>
            </w:r>
          </w:p>
        </w:tc>
        <w:tc>
          <w:tcPr>
            <w:tcW w:w="33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center"/>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7" w:hRule="atLeast"/>
        </w:trPr>
        <w:tc>
          <w:tcPr>
            <w:tcW w:w="15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序号</w:t>
            </w:r>
          </w:p>
        </w:tc>
        <w:tc>
          <w:tcPr>
            <w:tcW w:w="226"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检查事项名称</w:t>
            </w:r>
          </w:p>
        </w:tc>
        <w:tc>
          <w:tcPr>
            <w:tcW w:w="278"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职权设定依据</w:t>
            </w:r>
          </w:p>
        </w:tc>
        <w:tc>
          <w:tcPr>
            <w:tcW w:w="690"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检查实施依据</w:t>
            </w:r>
          </w:p>
        </w:tc>
        <w:tc>
          <w:tcPr>
            <w:tcW w:w="353"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检查</w:t>
            </w:r>
          </w:p>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对象</w:t>
            </w:r>
          </w:p>
        </w:tc>
        <w:tc>
          <w:tcPr>
            <w:tcW w:w="1137"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right="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检查内容</w:t>
            </w:r>
          </w:p>
        </w:tc>
        <w:tc>
          <w:tcPr>
            <w:tcW w:w="559"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right="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检查标准</w:t>
            </w:r>
          </w:p>
        </w:tc>
        <w:tc>
          <w:tcPr>
            <w:tcW w:w="584" w:type="pct"/>
            <w:gridSpan w:val="2"/>
            <w:tcBorders>
              <w:top w:val="single" w:color="auto" w:sz="4" w:space="0"/>
              <w:left w:val="nil"/>
              <w:bottom w:val="nil"/>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检查方式</w:t>
            </w:r>
          </w:p>
        </w:tc>
        <w:tc>
          <w:tcPr>
            <w:tcW w:w="290"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检查</w:t>
            </w:r>
          </w:p>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比例</w:t>
            </w:r>
          </w:p>
        </w:tc>
        <w:tc>
          <w:tcPr>
            <w:tcW w:w="388"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计划检查时间</w:t>
            </w:r>
          </w:p>
        </w:tc>
        <w:tc>
          <w:tcPr>
            <w:tcW w:w="335" w:type="pct"/>
            <w:vMerge w:val="restart"/>
            <w:tcBorders>
              <w:top w:val="single" w:color="auto" w:sz="4" w:space="0"/>
              <w:left w:val="nil"/>
              <w:bottom w:val="single" w:color="auto" w:sz="4" w:space="0"/>
              <w:right w:val="single" w:color="auto" w:sz="4" w:space="0"/>
            </w:tcBorders>
            <w:shd w:val="clear" w:color="auto" w:fill="auto"/>
            <w:vAlign w:val="top"/>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left"/>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同一企业年度最大检查频次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33" w:hRule="atLeast"/>
        </w:trPr>
        <w:tc>
          <w:tcPr>
            <w:tcW w:w="15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226"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278"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90"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353"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137"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559"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26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80" w:lineRule="exact"/>
              <w:ind w:left="0" w:leftChars="0" w:right="0" w:rightChars="0" w:firstLine="0" w:firstLineChars="0"/>
              <w:jc w:val="center"/>
              <w:rPr>
                <w:rFonts w:hint="eastAsia" w:ascii="黑体" w:hAnsi="宋体" w:eastAsia="黑体" w:cs="黑体"/>
                <w:b/>
                <w:bCs/>
                <w:kern w:val="0"/>
                <w:sz w:val="24"/>
                <w:szCs w:val="24"/>
              </w:rPr>
            </w:pPr>
          </w:p>
          <w:p>
            <w:pPr>
              <w:keepNext w:val="0"/>
              <w:keepLines w:val="0"/>
              <w:widowControl/>
              <w:suppressLineNumbers w:val="0"/>
              <w:autoSpaceDE w:val="0"/>
              <w:autoSpaceDN/>
              <w:spacing w:before="0" w:beforeAutospacing="0" w:after="0" w:afterAutospacing="0" w:line="280" w:lineRule="exact"/>
              <w:ind w:left="0" w:leftChars="0" w:right="0" w:rightChars="0" w:firstLine="0" w:firstLineChars="0"/>
              <w:jc w:val="center"/>
              <w:rPr>
                <w:rFonts w:hint="eastAsia" w:ascii="黑体" w:hAnsi="宋体" w:eastAsia="黑体" w:cs="黑体"/>
                <w:kern w:val="2"/>
                <w:sz w:val="21"/>
                <w:szCs w:val="21"/>
              </w:rPr>
            </w:pPr>
          </w:p>
        </w:tc>
        <w:tc>
          <w:tcPr>
            <w:tcW w:w="319"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80" w:lineRule="exact"/>
              <w:ind w:left="0" w:leftChars="0" w:right="0" w:rightChars="0" w:firstLine="0" w:firstLineChars="0"/>
              <w:jc w:val="center"/>
              <w:rPr>
                <w:rFonts w:hint="eastAsia" w:ascii="黑体" w:hAnsi="宋体" w:eastAsia="黑体" w:cs="黑体"/>
                <w:kern w:val="2"/>
                <w:sz w:val="21"/>
                <w:szCs w:val="21"/>
              </w:rPr>
            </w:pPr>
            <w:r>
              <w:rPr>
                <w:rFonts w:hint="eastAsia" w:ascii="黑体" w:hAnsi="宋体" w:eastAsia="黑体" w:cs="黑体"/>
                <w:b/>
                <w:bCs/>
                <w:kern w:val="0"/>
                <w:sz w:val="21"/>
                <w:szCs w:val="21"/>
                <w:lang w:val="en-US" w:eastAsia="zh-CN" w:bidi="ar"/>
              </w:rPr>
              <w:t>是否双随机一公开</w:t>
            </w:r>
          </w:p>
        </w:tc>
        <w:tc>
          <w:tcPr>
            <w:tcW w:w="290"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388"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335" w:type="pct"/>
            <w:vMerge w:val="continue"/>
            <w:tcBorders>
              <w:top w:val="single" w:color="auto" w:sz="4" w:space="0"/>
              <w:left w:val="nil"/>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68" w:hRule="atLeast"/>
        </w:trPr>
        <w:tc>
          <w:tcPr>
            <w:tcW w:w="15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0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2</w:t>
            </w:r>
          </w:p>
        </w:tc>
        <w:tc>
          <w:tcPr>
            <w:tcW w:w="22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对临时用地土地复垦情况的监督检查</w:t>
            </w:r>
          </w:p>
        </w:tc>
        <w:tc>
          <w:tcPr>
            <w:tcW w:w="27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《土地复垦条例》第五条</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p>
        </w:tc>
        <w:tc>
          <w:tcPr>
            <w:tcW w:w="690"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1.《土地复垦条例》第五条》；</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2.《土地复垦条例实施办法》第四十四条；3.《国土资源部关于土地复垦“双随机 一公开”监督检查实施细则的公告》（2017年第23号）；4.《广东省国土资源厅土地复垦“双随机一公开”监督检查实施细则》</w:t>
            </w:r>
          </w:p>
        </w:tc>
        <w:tc>
          <w:tcPr>
            <w:tcW w:w="353"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临时用地项目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p>
        </w:tc>
        <w:tc>
          <w:tcPr>
            <w:tcW w:w="113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土地复垦方案编报与备案、土地复垦资金保障与使用管理、土地复垦实施与验收，以及复垦利用与成效等。</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p>
        </w:tc>
        <w:tc>
          <w:tcPr>
            <w:tcW w:w="559"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1.土地复垦方案编制规程第 1 部分：通则（TD/T 1031.1—2011）</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2.土地复垦质量控制标准（TD/T 1036—2013）</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3.生产项目土地复垦验收规程(TD1044-2014)</w:t>
            </w:r>
          </w:p>
        </w:tc>
        <w:tc>
          <w:tcPr>
            <w:tcW w:w="264"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内业上图核查、实地随机抽查</w:t>
            </w:r>
          </w:p>
        </w:tc>
        <w:tc>
          <w:tcPr>
            <w:tcW w:w="319"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center"/>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是</w:t>
            </w:r>
          </w:p>
        </w:tc>
        <w:tc>
          <w:tcPr>
            <w:tcW w:w="290"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按照每个　地级以上市抽查4个项目开展。</w:t>
            </w:r>
          </w:p>
        </w:tc>
        <w:tc>
          <w:tcPr>
            <w:tcW w:w="38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2026年6至9月</w:t>
            </w:r>
          </w:p>
        </w:tc>
        <w:tc>
          <w:tcPr>
            <w:tcW w:w="33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center"/>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77" w:hRule="atLeast"/>
        </w:trPr>
        <w:tc>
          <w:tcPr>
            <w:tcW w:w="15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0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3</w:t>
            </w:r>
          </w:p>
        </w:tc>
        <w:tc>
          <w:tcPr>
            <w:tcW w:w="22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0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对土地估价行业的监督检查</w:t>
            </w:r>
          </w:p>
        </w:tc>
        <w:tc>
          <w:tcPr>
            <w:tcW w:w="278"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0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《中华人民共和国资产评估法》第四十条、第四十一条</w:t>
            </w:r>
          </w:p>
          <w:p>
            <w:pPr>
              <w:keepNext w:val="0"/>
              <w:keepLines w:val="0"/>
              <w:widowControl/>
              <w:suppressLineNumbers w:val="0"/>
              <w:autoSpaceDE w:val="0"/>
              <w:autoSpaceDN/>
              <w:spacing w:before="0" w:beforeAutospacing="0" w:after="0" w:afterAutospacing="0" w:line="200" w:lineRule="exact"/>
              <w:ind w:left="0" w:leftChars="0" w:right="0" w:firstLine="0" w:firstLineChars="0"/>
              <w:jc w:val="both"/>
              <w:rPr>
                <w:rFonts w:hint="eastAsia" w:ascii="仿宋_GB2312" w:hAnsi="Calibri" w:eastAsia="仿宋_GB2312" w:cs="仿宋_GB2312"/>
                <w:kern w:val="0"/>
                <w:sz w:val="21"/>
                <w:szCs w:val="21"/>
              </w:rPr>
            </w:pPr>
          </w:p>
        </w:tc>
        <w:tc>
          <w:tcPr>
            <w:tcW w:w="690"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0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《国土资源部办公厅关于发布&lt;土地估价行业“双随机、一公开”监督检查实施细则（试行）&gt;有关问题的通知》（自然资办〔2019〕39号）</w:t>
            </w:r>
          </w:p>
        </w:tc>
        <w:tc>
          <w:tcPr>
            <w:tcW w:w="35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0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土地估价专业的评估师、土地评估机构、土地估价行业协会</w:t>
            </w:r>
          </w:p>
        </w:tc>
        <w:tc>
          <w:tcPr>
            <w:tcW w:w="1137"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0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土地估价专业的评估师执业情况、土地评估机构的执业情况、土地估价行业协会的履职情况等。</w:t>
            </w:r>
          </w:p>
        </w:tc>
        <w:tc>
          <w:tcPr>
            <w:tcW w:w="559"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0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《自然资源部办公厅关于印发〈土地估价行业监督管理规范〉的通知》（自然资办发〔2024〕54号）</w:t>
            </w:r>
          </w:p>
          <w:p>
            <w:pPr>
              <w:keepNext w:val="0"/>
              <w:keepLines w:val="0"/>
              <w:widowControl/>
              <w:suppressLineNumbers w:val="0"/>
              <w:autoSpaceDE w:val="0"/>
              <w:autoSpaceDN/>
              <w:spacing w:before="0" w:beforeAutospacing="0" w:after="0" w:afterAutospacing="0" w:line="20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《自然资源部办公厅关于发布〈土地估价行业“双随机、一公开”监督检查实施细则（试行）〉有关问题的通知》（自然资办发〔2019〕39号）</w:t>
            </w:r>
          </w:p>
        </w:tc>
        <w:tc>
          <w:tcPr>
            <w:tcW w:w="264"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0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通过信息归集实施后台式监管（有明确线索可实地检查）</w:t>
            </w:r>
          </w:p>
        </w:tc>
        <w:tc>
          <w:tcPr>
            <w:tcW w:w="319"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00" w:lineRule="exact"/>
              <w:ind w:left="0" w:leftChars="0" w:right="0" w:firstLine="0" w:firstLineChars="0"/>
              <w:jc w:val="center"/>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是</w:t>
            </w:r>
          </w:p>
        </w:tc>
        <w:tc>
          <w:tcPr>
            <w:tcW w:w="290"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0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4%</w:t>
            </w:r>
          </w:p>
        </w:tc>
        <w:tc>
          <w:tcPr>
            <w:tcW w:w="388"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0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2026年7至12月</w:t>
            </w:r>
          </w:p>
        </w:tc>
        <w:tc>
          <w:tcPr>
            <w:tcW w:w="335"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00" w:lineRule="exact"/>
              <w:ind w:left="0" w:leftChars="0" w:right="0" w:firstLine="0" w:firstLineChars="0"/>
              <w:jc w:val="center"/>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5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序号</w:t>
            </w:r>
          </w:p>
        </w:tc>
        <w:tc>
          <w:tcPr>
            <w:tcW w:w="226"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检查事项名称</w:t>
            </w:r>
          </w:p>
        </w:tc>
        <w:tc>
          <w:tcPr>
            <w:tcW w:w="278"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职权设定依据</w:t>
            </w:r>
          </w:p>
        </w:tc>
        <w:tc>
          <w:tcPr>
            <w:tcW w:w="690"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检查实施依据</w:t>
            </w:r>
          </w:p>
        </w:tc>
        <w:tc>
          <w:tcPr>
            <w:tcW w:w="353"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检查</w:t>
            </w:r>
          </w:p>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对象</w:t>
            </w:r>
          </w:p>
        </w:tc>
        <w:tc>
          <w:tcPr>
            <w:tcW w:w="1137"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right="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检查内容</w:t>
            </w:r>
          </w:p>
        </w:tc>
        <w:tc>
          <w:tcPr>
            <w:tcW w:w="559"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right="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检查标准</w:t>
            </w:r>
          </w:p>
        </w:tc>
        <w:tc>
          <w:tcPr>
            <w:tcW w:w="584" w:type="pct"/>
            <w:gridSpan w:val="2"/>
            <w:tcBorders>
              <w:top w:val="single" w:color="auto" w:sz="4" w:space="0"/>
              <w:left w:val="nil"/>
              <w:bottom w:val="nil"/>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检查方式</w:t>
            </w:r>
          </w:p>
        </w:tc>
        <w:tc>
          <w:tcPr>
            <w:tcW w:w="290"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检查</w:t>
            </w:r>
          </w:p>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比例</w:t>
            </w:r>
          </w:p>
        </w:tc>
        <w:tc>
          <w:tcPr>
            <w:tcW w:w="388" w:type="pct"/>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center"/>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计划检查时间</w:t>
            </w:r>
          </w:p>
        </w:tc>
        <w:tc>
          <w:tcPr>
            <w:tcW w:w="335" w:type="pct"/>
            <w:vMerge w:val="restart"/>
            <w:tcBorders>
              <w:top w:val="single" w:color="auto" w:sz="4" w:space="0"/>
              <w:left w:val="nil"/>
              <w:bottom w:val="single" w:color="auto" w:sz="4" w:space="0"/>
              <w:right w:val="single" w:color="auto" w:sz="4" w:space="0"/>
            </w:tcBorders>
            <w:shd w:val="clear" w:color="auto" w:fill="auto"/>
            <w:vAlign w:val="top"/>
          </w:tcPr>
          <w:p>
            <w:pPr>
              <w:keepNext w:val="0"/>
              <w:keepLines w:val="0"/>
              <w:widowControl/>
              <w:suppressLineNumbers w:val="0"/>
              <w:autoSpaceDE w:val="0"/>
              <w:autoSpaceDN/>
              <w:spacing w:before="0" w:beforeAutospacing="0" w:after="0" w:afterAutospacing="0" w:line="260" w:lineRule="exact"/>
              <w:ind w:left="0" w:leftChars="0" w:right="0" w:rightChars="0" w:firstLine="0" w:firstLineChars="0"/>
              <w:jc w:val="left"/>
              <w:rPr>
                <w:rFonts w:hint="eastAsia" w:ascii="黑体" w:hAnsi="宋体" w:eastAsia="黑体" w:cs="黑体"/>
                <w:b/>
                <w:bCs/>
                <w:kern w:val="0"/>
                <w:sz w:val="21"/>
                <w:szCs w:val="21"/>
              </w:rPr>
            </w:pPr>
            <w:r>
              <w:rPr>
                <w:rFonts w:hint="eastAsia" w:ascii="黑体" w:hAnsi="宋体" w:eastAsia="黑体" w:cs="黑体"/>
                <w:b/>
                <w:bCs/>
                <w:kern w:val="0"/>
                <w:sz w:val="21"/>
                <w:szCs w:val="21"/>
                <w:lang w:val="en-US" w:eastAsia="zh-CN" w:bidi="ar"/>
              </w:rPr>
              <w:t>同一企业年度最大检查频次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15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226"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278"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690"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353"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1137"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559"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26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80" w:lineRule="exact"/>
              <w:ind w:left="0" w:leftChars="0" w:right="0" w:rightChars="0" w:firstLine="0" w:firstLineChars="0"/>
              <w:jc w:val="center"/>
              <w:rPr>
                <w:rFonts w:hint="eastAsia" w:ascii="黑体" w:hAnsi="宋体" w:eastAsia="黑体" w:cs="黑体"/>
                <w:b/>
                <w:bCs/>
                <w:kern w:val="0"/>
                <w:sz w:val="24"/>
                <w:szCs w:val="24"/>
              </w:rPr>
            </w:pPr>
          </w:p>
          <w:p>
            <w:pPr>
              <w:keepNext w:val="0"/>
              <w:keepLines w:val="0"/>
              <w:widowControl/>
              <w:suppressLineNumbers w:val="0"/>
              <w:autoSpaceDE w:val="0"/>
              <w:autoSpaceDN/>
              <w:spacing w:before="0" w:beforeAutospacing="0" w:after="0" w:afterAutospacing="0" w:line="280" w:lineRule="exact"/>
              <w:ind w:left="0" w:leftChars="0" w:right="0" w:rightChars="0" w:firstLine="0" w:firstLineChars="0"/>
              <w:jc w:val="center"/>
              <w:rPr>
                <w:rFonts w:hint="eastAsia" w:ascii="黑体" w:hAnsi="宋体" w:eastAsia="黑体" w:cs="黑体"/>
                <w:kern w:val="2"/>
                <w:sz w:val="21"/>
                <w:szCs w:val="21"/>
              </w:rPr>
            </w:pPr>
          </w:p>
        </w:tc>
        <w:tc>
          <w:tcPr>
            <w:tcW w:w="319"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80" w:lineRule="exact"/>
              <w:ind w:left="0" w:leftChars="0" w:right="0" w:rightChars="0" w:firstLine="0" w:firstLineChars="0"/>
              <w:jc w:val="center"/>
              <w:rPr>
                <w:rFonts w:hint="eastAsia" w:ascii="黑体" w:hAnsi="宋体" w:eastAsia="黑体" w:cs="黑体"/>
                <w:kern w:val="2"/>
                <w:sz w:val="21"/>
                <w:szCs w:val="21"/>
              </w:rPr>
            </w:pPr>
            <w:r>
              <w:rPr>
                <w:rFonts w:hint="eastAsia" w:ascii="黑体" w:hAnsi="宋体" w:eastAsia="黑体" w:cs="黑体"/>
                <w:b/>
                <w:bCs/>
                <w:kern w:val="0"/>
                <w:sz w:val="21"/>
                <w:szCs w:val="21"/>
                <w:lang w:val="en-US" w:eastAsia="zh-CN" w:bidi="ar"/>
              </w:rPr>
              <w:t>是否双随机一公开</w:t>
            </w:r>
          </w:p>
        </w:tc>
        <w:tc>
          <w:tcPr>
            <w:tcW w:w="290"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388" w:type="pct"/>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c>
          <w:tcPr>
            <w:tcW w:w="335" w:type="pct"/>
            <w:vMerge w:val="continue"/>
            <w:tcBorders>
              <w:top w:val="single" w:color="auto" w:sz="4" w:space="0"/>
              <w:left w:val="nil"/>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rPr>
                <w:rFonts w:hint="default"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1" w:hRule="atLeast"/>
        </w:trPr>
        <w:tc>
          <w:tcPr>
            <w:tcW w:w="15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center"/>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4</w:t>
            </w:r>
          </w:p>
        </w:tc>
        <w:tc>
          <w:tcPr>
            <w:tcW w:w="22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对城乡规划编</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制单位乙级资</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质情况的监督</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检查</w:t>
            </w:r>
          </w:p>
        </w:tc>
        <w:tc>
          <w:tcPr>
            <w:tcW w:w="27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0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《城乡规划编制单位资质管理办法》（自然资源部令第11号）第三条</w:t>
            </w:r>
          </w:p>
        </w:tc>
        <w:tc>
          <w:tcPr>
            <w:tcW w:w="690"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《城乡规划编制单位资质管理办法》（自然资源部令第11号）第</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十九条、第二十一条、第二十二</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条</w:t>
            </w:r>
          </w:p>
        </w:tc>
        <w:tc>
          <w:tcPr>
            <w:tcW w:w="35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00" w:lineRule="exact"/>
              <w:ind w:left="0" w:leftChars="0" w:right="0" w:firstLine="0" w:firstLineChars="0"/>
              <w:jc w:val="both"/>
              <w:rPr>
                <w:rFonts w:hint="eastAsia" w:ascii="仿宋_GB2312" w:hAnsi="Calibri" w:eastAsia="仿宋_GB2312" w:cs="仿宋_GB2312"/>
                <w:kern w:val="0"/>
                <w:sz w:val="21"/>
                <w:szCs w:val="21"/>
                <w:lang w:val="en-US" w:eastAsia="zh-CN" w:bidi="ar"/>
              </w:rPr>
            </w:pPr>
            <w:r>
              <w:rPr>
                <w:rFonts w:hint="eastAsia" w:ascii="仿宋_GB2312" w:hAnsi="Calibri" w:eastAsia="仿宋_GB2312" w:cs="仿宋_GB2312"/>
                <w:kern w:val="0"/>
                <w:sz w:val="21"/>
                <w:szCs w:val="21"/>
                <w:lang w:val="en-US" w:eastAsia="zh-CN" w:bidi="ar"/>
              </w:rPr>
              <w:t>持乙级资质的城乡规划编制单位</w:t>
            </w:r>
          </w:p>
        </w:tc>
        <w:tc>
          <w:tcPr>
            <w:tcW w:w="113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1.技术人员、设备等条件变化情况；2.是否及时办理资质、单位名称、地址、法人代表等资质证书信息变更。</w:t>
            </w:r>
          </w:p>
        </w:tc>
        <w:tc>
          <w:tcPr>
            <w:tcW w:w="559"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《城乡规划编制单位资质管理办法》（自然资源部令第11号）第</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六条、第七条</w:t>
            </w:r>
          </w:p>
        </w:tc>
        <w:tc>
          <w:tcPr>
            <w:tcW w:w="264"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内业核查、实地随机抽查</w:t>
            </w:r>
          </w:p>
        </w:tc>
        <w:tc>
          <w:tcPr>
            <w:tcW w:w="319"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center"/>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是</w:t>
            </w:r>
          </w:p>
        </w:tc>
        <w:tc>
          <w:tcPr>
            <w:tcW w:w="290"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10%-20%</w:t>
            </w:r>
          </w:p>
        </w:tc>
        <w:tc>
          <w:tcPr>
            <w:tcW w:w="38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2026年</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10至12月</w:t>
            </w:r>
          </w:p>
        </w:tc>
        <w:tc>
          <w:tcPr>
            <w:tcW w:w="33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center"/>
              <w:textAlignment w:val="auto"/>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9" w:hRule="atLeast"/>
        </w:trPr>
        <w:tc>
          <w:tcPr>
            <w:tcW w:w="15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lang w:val="en-US" w:eastAsia="zh-CN" w:bidi="ar"/>
              </w:rPr>
            </w:pPr>
            <w:r>
              <w:rPr>
                <w:rFonts w:hint="eastAsia" w:ascii="仿宋_GB2312" w:hAnsi="Calibri" w:eastAsia="仿宋_GB2312" w:cs="仿宋_GB2312"/>
                <w:kern w:val="0"/>
                <w:sz w:val="21"/>
                <w:szCs w:val="21"/>
                <w:lang w:val="en-US" w:eastAsia="zh-CN" w:bidi="ar"/>
              </w:rPr>
              <w:t>5</w:t>
            </w:r>
          </w:p>
        </w:tc>
        <w:tc>
          <w:tcPr>
            <w:tcW w:w="226"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2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对测绘</w:t>
            </w:r>
          </w:p>
          <w:p>
            <w:pPr>
              <w:keepNext w:val="0"/>
              <w:keepLines w:val="0"/>
              <w:widowControl/>
              <w:suppressLineNumbers w:val="0"/>
              <w:autoSpaceDE w:val="0"/>
              <w:autoSpaceDN/>
              <w:spacing w:before="0" w:beforeAutospacing="0" w:after="0" w:afterAutospacing="0" w:line="22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资质单</w:t>
            </w:r>
          </w:p>
          <w:p>
            <w:pPr>
              <w:keepNext w:val="0"/>
              <w:keepLines w:val="0"/>
              <w:widowControl/>
              <w:suppressLineNumbers w:val="0"/>
              <w:autoSpaceDE w:val="0"/>
              <w:autoSpaceDN/>
              <w:spacing w:before="0" w:beforeAutospacing="0" w:after="0" w:afterAutospacing="0" w:line="22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位和测</w:t>
            </w:r>
          </w:p>
          <w:p>
            <w:pPr>
              <w:keepNext w:val="0"/>
              <w:keepLines w:val="0"/>
              <w:widowControl/>
              <w:suppressLineNumbers w:val="0"/>
              <w:autoSpaceDE w:val="0"/>
              <w:autoSpaceDN/>
              <w:spacing w:before="0" w:beforeAutospacing="0" w:after="0" w:afterAutospacing="0" w:line="22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绘成果</w:t>
            </w:r>
          </w:p>
          <w:p>
            <w:pPr>
              <w:keepNext w:val="0"/>
              <w:keepLines w:val="0"/>
              <w:widowControl/>
              <w:suppressLineNumbers w:val="0"/>
              <w:autoSpaceDE w:val="0"/>
              <w:autoSpaceDN/>
              <w:spacing w:before="0" w:beforeAutospacing="0" w:after="0" w:afterAutospacing="0" w:line="22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质量的</w:t>
            </w:r>
          </w:p>
          <w:p>
            <w:pPr>
              <w:keepNext w:val="0"/>
              <w:keepLines w:val="0"/>
              <w:widowControl/>
              <w:suppressLineNumbers w:val="0"/>
              <w:autoSpaceDE w:val="0"/>
              <w:autoSpaceDN/>
              <w:spacing w:before="0" w:beforeAutospacing="0" w:after="0" w:afterAutospacing="0" w:line="22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监督检</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lang w:val="en-US" w:eastAsia="zh-CN" w:bidi="ar"/>
              </w:rPr>
            </w:pPr>
            <w:r>
              <w:rPr>
                <w:rFonts w:hint="eastAsia" w:ascii="仿宋_GB2312" w:hAnsi="Calibri" w:eastAsia="仿宋_GB2312" w:cs="仿宋_GB2312"/>
                <w:kern w:val="0"/>
                <w:sz w:val="21"/>
                <w:szCs w:val="21"/>
                <w:lang w:val="en-US" w:eastAsia="zh-CN" w:bidi="ar"/>
              </w:rPr>
              <w:t>查</w:t>
            </w:r>
          </w:p>
        </w:tc>
        <w:tc>
          <w:tcPr>
            <w:tcW w:w="27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00" w:lineRule="exact"/>
              <w:ind w:left="0" w:leftChars="0" w:right="0" w:firstLine="0" w:firstLineChars="0"/>
              <w:jc w:val="both"/>
              <w:textAlignment w:val="auto"/>
              <w:rPr>
                <w:rFonts w:hint="eastAsia" w:ascii="仿宋_GB2312" w:hAnsi="Calibri" w:eastAsia="仿宋_GB2312" w:cs="仿宋_GB2312"/>
                <w:kern w:val="0"/>
                <w:sz w:val="18"/>
                <w:szCs w:val="18"/>
              </w:rPr>
            </w:pPr>
            <w:r>
              <w:rPr>
                <w:rFonts w:hint="eastAsia" w:ascii="仿宋_GB2312" w:hAnsi="Calibri" w:eastAsia="仿宋_GB2312" w:cs="仿宋_GB2312"/>
                <w:kern w:val="0"/>
                <w:sz w:val="18"/>
                <w:szCs w:val="18"/>
                <w:lang w:val="en-US" w:eastAsia="zh-CN" w:bidi="ar"/>
              </w:rPr>
              <w:t>1.《中华人</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00" w:lineRule="exact"/>
              <w:ind w:left="0" w:leftChars="0" w:right="0" w:firstLine="0" w:firstLineChars="0"/>
              <w:jc w:val="both"/>
              <w:textAlignment w:val="auto"/>
              <w:rPr>
                <w:rFonts w:hint="eastAsia" w:ascii="仿宋_GB2312" w:hAnsi="Calibri" w:eastAsia="仿宋_GB2312" w:cs="仿宋_GB2312"/>
                <w:kern w:val="0"/>
                <w:sz w:val="18"/>
                <w:szCs w:val="18"/>
              </w:rPr>
            </w:pPr>
            <w:r>
              <w:rPr>
                <w:rFonts w:hint="eastAsia" w:ascii="仿宋_GB2312" w:hAnsi="Calibri" w:eastAsia="仿宋_GB2312" w:cs="仿宋_GB2312"/>
                <w:kern w:val="0"/>
                <w:sz w:val="18"/>
                <w:szCs w:val="18"/>
                <w:lang w:val="en-US" w:eastAsia="zh-CN" w:bidi="ar"/>
              </w:rPr>
              <w:t>民共和国测</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00" w:lineRule="exact"/>
              <w:ind w:left="0" w:leftChars="0" w:right="0" w:firstLine="0" w:firstLineChars="0"/>
              <w:jc w:val="both"/>
              <w:textAlignment w:val="auto"/>
              <w:rPr>
                <w:rFonts w:hint="eastAsia" w:ascii="仿宋_GB2312" w:hAnsi="Calibri" w:eastAsia="仿宋_GB2312" w:cs="仿宋_GB2312"/>
                <w:kern w:val="0"/>
                <w:sz w:val="18"/>
                <w:szCs w:val="18"/>
              </w:rPr>
            </w:pPr>
            <w:r>
              <w:rPr>
                <w:rFonts w:hint="eastAsia" w:ascii="仿宋_GB2312" w:hAnsi="Calibri" w:eastAsia="仿宋_GB2312" w:cs="仿宋_GB2312"/>
                <w:kern w:val="0"/>
                <w:sz w:val="18"/>
                <w:szCs w:val="18"/>
                <w:lang w:val="en-US" w:eastAsia="zh-CN" w:bidi="ar"/>
              </w:rPr>
              <w:t>绘法》第四</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00" w:lineRule="exact"/>
              <w:ind w:left="0" w:leftChars="0" w:right="0" w:firstLine="0" w:firstLineChars="0"/>
              <w:jc w:val="both"/>
              <w:textAlignment w:val="auto"/>
              <w:rPr>
                <w:rFonts w:hint="eastAsia" w:ascii="仿宋_GB2312" w:hAnsi="Calibri" w:eastAsia="仿宋_GB2312" w:cs="仿宋_GB2312"/>
                <w:kern w:val="0"/>
                <w:sz w:val="18"/>
                <w:szCs w:val="18"/>
              </w:rPr>
            </w:pPr>
            <w:r>
              <w:rPr>
                <w:rFonts w:hint="eastAsia" w:ascii="仿宋_GB2312" w:hAnsi="Calibri" w:eastAsia="仿宋_GB2312" w:cs="仿宋_GB2312"/>
                <w:kern w:val="0"/>
                <w:sz w:val="18"/>
                <w:szCs w:val="18"/>
                <w:lang w:val="en-US" w:eastAsia="zh-CN" w:bidi="ar"/>
              </w:rPr>
              <w:t>、三十九条；</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00" w:lineRule="exact"/>
              <w:ind w:left="0" w:leftChars="0" w:right="0" w:firstLine="0" w:firstLineChars="0"/>
              <w:jc w:val="both"/>
              <w:textAlignment w:val="auto"/>
              <w:rPr>
                <w:rFonts w:hint="eastAsia" w:ascii="仿宋_GB2312" w:hAnsi="Calibri" w:eastAsia="仿宋_GB2312" w:cs="仿宋_GB2312"/>
                <w:kern w:val="0"/>
                <w:sz w:val="18"/>
                <w:szCs w:val="18"/>
              </w:rPr>
            </w:pPr>
            <w:r>
              <w:rPr>
                <w:rFonts w:hint="eastAsia" w:ascii="仿宋_GB2312" w:hAnsi="Calibri" w:eastAsia="仿宋_GB2312" w:cs="仿宋_GB2312"/>
                <w:kern w:val="0"/>
                <w:sz w:val="18"/>
                <w:szCs w:val="18"/>
                <w:lang w:val="en-US" w:eastAsia="zh-CN" w:bidi="ar"/>
              </w:rPr>
              <w:t>2.《广东省测</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00" w:lineRule="exact"/>
              <w:ind w:left="0" w:leftChars="0" w:right="0" w:firstLine="0" w:firstLineChars="0"/>
              <w:jc w:val="both"/>
              <w:textAlignment w:val="auto"/>
              <w:rPr>
                <w:rFonts w:hint="eastAsia" w:ascii="仿宋_GB2312" w:hAnsi="Calibri" w:eastAsia="仿宋_GB2312" w:cs="仿宋_GB2312"/>
                <w:kern w:val="0"/>
                <w:sz w:val="18"/>
                <w:szCs w:val="18"/>
              </w:rPr>
            </w:pPr>
            <w:r>
              <w:rPr>
                <w:rFonts w:hint="eastAsia" w:ascii="仿宋_GB2312" w:hAnsi="Calibri" w:eastAsia="仿宋_GB2312" w:cs="仿宋_GB2312"/>
                <w:kern w:val="0"/>
                <w:sz w:val="18"/>
                <w:szCs w:val="18"/>
                <w:lang w:val="en-US" w:eastAsia="zh-CN" w:bidi="ar"/>
              </w:rPr>
              <w:t>绘条例》第三</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00" w:lineRule="exact"/>
              <w:ind w:left="0" w:leftChars="0" w:right="0" w:firstLine="0" w:firstLineChars="0"/>
              <w:jc w:val="both"/>
              <w:textAlignment w:val="auto"/>
              <w:rPr>
                <w:rFonts w:hint="eastAsia" w:ascii="仿宋_GB2312" w:hAnsi="Calibri" w:eastAsia="仿宋_GB2312" w:cs="仿宋_GB2312"/>
                <w:kern w:val="0"/>
                <w:sz w:val="18"/>
                <w:szCs w:val="18"/>
              </w:rPr>
            </w:pPr>
            <w:r>
              <w:rPr>
                <w:rFonts w:hint="eastAsia" w:ascii="仿宋_GB2312" w:hAnsi="Calibri" w:eastAsia="仿宋_GB2312" w:cs="仿宋_GB2312"/>
                <w:kern w:val="0"/>
                <w:sz w:val="18"/>
                <w:szCs w:val="18"/>
                <w:lang w:val="en-US" w:eastAsia="zh-CN" w:bidi="ar"/>
              </w:rPr>
              <w:t>、三十五</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00" w:lineRule="exact"/>
              <w:ind w:left="0" w:leftChars="0" w:right="0" w:firstLine="0" w:firstLineChars="0"/>
              <w:jc w:val="both"/>
              <w:textAlignment w:val="auto"/>
              <w:rPr>
                <w:rFonts w:hint="eastAsia" w:ascii="仿宋_GB2312" w:hAnsi="Calibri" w:eastAsia="仿宋_GB2312" w:cs="仿宋_GB2312"/>
                <w:kern w:val="0"/>
                <w:sz w:val="21"/>
                <w:szCs w:val="21"/>
                <w:lang w:val="en-US" w:eastAsia="zh-CN" w:bidi="ar"/>
              </w:rPr>
            </w:pPr>
            <w:r>
              <w:rPr>
                <w:rFonts w:hint="eastAsia" w:ascii="仿宋_GB2312" w:hAnsi="Calibri" w:eastAsia="仿宋_GB2312" w:cs="仿宋_GB2312"/>
                <w:kern w:val="0"/>
                <w:sz w:val="18"/>
                <w:szCs w:val="18"/>
                <w:lang w:val="en-US" w:eastAsia="zh-CN" w:bidi="ar"/>
              </w:rPr>
              <w:t>条</w:t>
            </w:r>
          </w:p>
        </w:tc>
        <w:tc>
          <w:tcPr>
            <w:tcW w:w="690"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2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1.《中华人民共</w:t>
            </w:r>
          </w:p>
          <w:p>
            <w:pPr>
              <w:keepNext w:val="0"/>
              <w:keepLines w:val="0"/>
              <w:widowControl/>
              <w:suppressLineNumbers w:val="0"/>
              <w:autoSpaceDE w:val="0"/>
              <w:autoSpaceDN/>
              <w:spacing w:before="0" w:beforeAutospacing="0" w:after="0" w:afterAutospacing="0" w:line="22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和国测绘法》第</w:t>
            </w:r>
          </w:p>
          <w:p>
            <w:pPr>
              <w:keepNext w:val="0"/>
              <w:keepLines w:val="0"/>
              <w:widowControl/>
              <w:suppressLineNumbers w:val="0"/>
              <w:autoSpaceDE w:val="0"/>
              <w:autoSpaceDN/>
              <w:spacing w:before="0" w:beforeAutospacing="0" w:after="0" w:afterAutospacing="0" w:line="22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四十八、四十九</w:t>
            </w:r>
          </w:p>
          <w:p>
            <w:pPr>
              <w:keepNext w:val="0"/>
              <w:keepLines w:val="0"/>
              <w:widowControl/>
              <w:suppressLineNumbers w:val="0"/>
              <w:autoSpaceDE w:val="0"/>
              <w:autoSpaceDN/>
              <w:spacing w:before="0" w:beforeAutospacing="0" w:after="0" w:afterAutospacing="0" w:line="22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条；</w:t>
            </w:r>
          </w:p>
          <w:p>
            <w:pPr>
              <w:keepNext w:val="0"/>
              <w:keepLines w:val="0"/>
              <w:widowControl/>
              <w:suppressLineNumbers w:val="0"/>
              <w:autoSpaceDE w:val="0"/>
              <w:autoSpaceDN/>
              <w:spacing w:before="0" w:beforeAutospacing="0" w:after="0" w:afterAutospacing="0" w:line="22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2.《广东省</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lang w:val="en-US" w:eastAsia="zh-CN" w:bidi="ar"/>
              </w:rPr>
            </w:pPr>
            <w:r>
              <w:rPr>
                <w:rFonts w:hint="eastAsia" w:ascii="仿宋_GB2312" w:hAnsi="Calibri" w:eastAsia="仿宋_GB2312" w:cs="仿宋_GB2312"/>
                <w:kern w:val="0"/>
                <w:sz w:val="21"/>
                <w:szCs w:val="21"/>
                <w:lang w:val="en-US" w:eastAsia="zh-CN" w:bidi="ar"/>
              </w:rPr>
              <w:t>测绘条例》（2014年修订）第二十八条</w:t>
            </w:r>
          </w:p>
        </w:tc>
        <w:tc>
          <w:tcPr>
            <w:tcW w:w="353"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2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省内甲级</w:t>
            </w:r>
          </w:p>
          <w:p>
            <w:pPr>
              <w:keepNext w:val="0"/>
              <w:keepLines w:val="0"/>
              <w:widowControl/>
              <w:suppressLineNumbers w:val="0"/>
              <w:autoSpaceDE w:val="0"/>
              <w:autoSpaceDN/>
              <w:spacing w:before="0" w:beforeAutospacing="0" w:after="0" w:afterAutospacing="0" w:line="22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测绘资质</w:t>
            </w:r>
          </w:p>
          <w:p>
            <w:pPr>
              <w:keepNext w:val="0"/>
              <w:keepLines w:val="0"/>
              <w:widowControl/>
              <w:suppressLineNumbers w:val="0"/>
              <w:autoSpaceDE w:val="0"/>
              <w:autoSpaceDN/>
              <w:spacing w:before="0" w:beforeAutospacing="0" w:after="0" w:afterAutospacing="0" w:line="22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单位及抽</w:t>
            </w:r>
          </w:p>
          <w:p>
            <w:pPr>
              <w:keepNext w:val="0"/>
              <w:keepLines w:val="0"/>
              <w:widowControl/>
              <w:suppressLineNumbers w:val="0"/>
              <w:autoSpaceDE w:val="0"/>
              <w:autoSpaceDN/>
              <w:spacing w:before="0" w:beforeAutospacing="0" w:after="0" w:afterAutospacing="0" w:line="22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查单位测</w:t>
            </w:r>
          </w:p>
          <w:p>
            <w:pPr>
              <w:keepNext w:val="0"/>
              <w:keepLines w:val="0"/>
              <w:widowControl/>
              <w:suppressLineNumbers w:val="0"/>
              <w:autoSpaceDE w:val="0"/>
              <w:autoSpaceDN/>
              <w:spacing w:before="0" w:beforeAutospacing="0" w:after="0" w:afterAutospacing="0" w:line="22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绘成果质</w:t>
            </w:r>
          </w:p>
          <w:p>
            <w:pPr>
              <w:keepNext w:val="0"/>
              <w:keepLines w:val="0"/>
              <w:widowControl/>
              <w:suppressLineNumbers w:val="0"/>
              <w:autoSpaceDE w:val="0"/>
              <w:autoSpaceDN/>
              <w:spacing w:before="0" w:beforeAutospacing="0" w:after="0" w:afterAutospacing="0" w:line="22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量、测绘资</w:t>
            </w:r>
          </w:p>
          <w:p>
            <w:pPr>
              <w:keepNext w:val="0"/>
              <w:keepLines w:val="0"/>
              <w:widowControl w:val="0"/>
              <w:suppressLineNumbers w:val="0"/>
              <w:autoSpaceDE w:val="0"/>
              <w:autoSpaceDN/>
              <w:spacing w:before="0" w:beforeAutospacing="0" w:after="0" w:afterAutospacing="0" w:line="220" w:lineRule="exact"/>
              <w:ind w:left="0" w:leftChars="0" w:right="0" w:firstLine="0" w:firstLineChars="0"/>
              <w:jc w:val="both"/>
              <w:rPr>
                <w:rFonts w:hint="eastAsia" w:ascii="仿宋_GB2312" w:hAnsi="Calibri" w:eastAsia="仿宋_GB2312" w:cs="仿宋_GB2312"/>
                <w:kern w:val="0"/>
                <w:sz w:val="21"/>
                <w:szCs w:val="21"/>
                <w:lang w:val="en-US" w:eastAsia="zh-CN" w:bidi="ar"/>
              </w:rPr>
            </w:pPr>
            <w:r>
              <w:rPr>
                <w:rFonts w:hint="eastAsia" w:ascii="仿宋_GB2312" w:hAnsi="Calibri" w:eastAsia="仿宋_GB2312" w:cs="仿宋_GB2312"/>
                <w:kern w:val="0"/>
                <w:sz w:val="21"/>
                <w:szCs w:val="21"/>
                <w:lang w:val="en-US" w:eastAsia="zh-CN" w:bidi="ar"/>
              </w:rPr>
              <w:t>质条件</w:t>
            </w:r>
          </w:p>
        </w:tc>
        <w:tc>
          <w:tcPr>
            <w:tcW w:w="113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lang w:val="en-US" w:eastAsia="zh-CN" w:bidi="ar"/>
              </w:rPr>
            </w:pPr>
            <w:r>
              <w:rPr>
                <w:rFonts w:hint="eastAsia" w:ascii="仿宋_GB2312" w:hAnsi="Calibri" w:eastAsia="仿宋_GB2312" w:cs="仿宋_GB2312"/>
                <w:kern w:val="0"/>
                <w:sz w:val="21"/>
                <w:szCs w:val="21"/>
                <w:lang w:val="en-US" w:eastAsia="zh-CN" w:bidi="ar"/>
              </w:rPr>
              <w:t>对测绘资质单位测绘成果质量、测绘资质条件等非成果类监督抽查</w:t>
            </w:r>
          </w:p>
        </w:tc>
        <w:tc>
          <w:tcPr>
            <w:tcW w:w="559"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2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1.GB/T 24356-2023《测绘成果质量检查与验收》；</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lang w:val="en-US" w:eastAsia="zh-CN" w:bidi="ar"/>
              </w:rPr>
            </w:pPr>
            <w:r>
              <w:rPr>
                <w:rFonts w:hint="eastAsia" w:ascii="仿宋_GB2312" w:hAnsi="Calibri" w:eastAsia="仿宋_GB2312" w:cs="仿宋_GB2312"/>
                <w:kern w:val="0"/>
                <w:sz w:val="21"/>
                <w:szCs w:val="21"/>
                <w:lang w:val="en-US" w:eastAsia="zh-CN" w:bidi="ar"/>
              </w:rPr>
              <w:t>2.GB/T 18316-2008《数字测绘成果质量检查与验收》；3.《自然资源部办公厅关于印发测绘资质管理办法和测绘资质分类分级标准的通知》（自然资办发〔2021〕43 号）</w:t>
            </w:r>
          </w:p>
        </w:tc>
        <w:tc>
          <w:tcPr>
            <w:tcW w:w="264"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2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书面检</w:t>
            </w:r>
          </w:p>
          <w:p>
            <w:pPr>
              <w:keepNext w:val="0"/>
              <w:keepLines w:val="0"/>
              <w:widowControl/>
              <w:suppressLineNumbers w:val="0"/>
              <w:autoSpaceDE w:val="0"/>
              <w:autoSpaceDN/>
              <w:spacing w:before="0" w:beforeAutospacing="0" w:after="0" w:afterAutospacing="0" w:line="22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查、 现场</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lang w:val="en-US" w:eastAsia="zh-CN" w:bidi="ar"/>
              </w:rPr>
            </w:pPr>
            <w:r>
              <w:rPr>
                <w:rFonts w:hint="eastAsia" w:ascii="仿宋_GB2312" w:hAnsi="Calibri" w:eastAsia="仿宋_GB2312" w:cs="仿宋_GB2312"/>
                <w:kern w:val="0"/>
                <w:sz w:val="21"/>
                <w:szCs w:val="21"/>
                <w:lang w:val="en-US" w:eastAsia="zh-CN" w:bidi="ar"/>
              </w:rPr>
              <w:t>检查</w:t>
            </w:r>
          </w:p>
        </w:tc>
        <w:tc>
          <w:tcPr>
            <w:tcW w:w="319"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lang w:val="en-US" w:eastAsia="zh-CN" w:bidi="ar"/>
              </w:rPr>
            </w:pPr>
            <w:r>
              <w:rPr>
                <w:rFonts w:hint="eastAsia" w:ascii="仿宋_GB2312" w:hAnsi="Calibri" w:eastAsia="仿宋_GB2312" w:cs="仿宋_GB2312"/>
                <w:kern w:val="0"/>
                <w:sz w:val="21"/>
                <w:szCs w:val="21"/>
                <w:lang w:val="en-US" w:eastAsia="zh-CN" w:bidi="ar"/>
              </w:rPr>
              <w:t>是</w:t>
            </w:r>
          </w:p>
        </w:tc>
        <w:tc>
          <w:tcPr>
            <w:tcW w:w="290"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lang w:val="en-US" w:eastAsia="zh-CN" w:bidi="ar"/>
              </w:rPr>
            </w:pPr>
            <w:r>
              <w:rPr>
                <w:rFonts w:hint="eastAsia" w:ascii="仿宋_GB2312" w:hAnsi="Calibri" w:eastAsia="仿宋_GB2312" w:cs="仿宋_GB2312"/>
                <w:kern w:val="0"/>
                <w:sz w:val="21"/>
                <w:szCs w:val="21"/>
                <w:lang w:val="en-US" w:eastAsia="zh-CN" w:bidi="ar"/>
              </w:rPr>
              <w:t>5%-10%</w:t>
            </w:r>
          </w:p>
        </w:tc>
        <w:tc>
          <w:tcPr>
            <w:tcW w:w="388"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autoSpaceDE w:val="0"/>
              <w:autoSpaceDN/>
              <w:spacing w:before="0" w:beforeAutospacing="0" w:after="0" w:afterAutospacing="0" w:line="220" w:lineRule="exact"/>
              <w:ind w:left="0" w:leftChars="0" w:right="0" w:firstLine="0" w:firstLineChars="0"/>
              <w:jc w:val="both"/>
              <w:rPr>
                <w:rFonts w:hint="eastAsia" w:ascii="仿宋_GB2312" w:hAnsi="Calibri" w:eastAsia="仿宋_GB2312" w:cs="仿宋_GB2312"/>
                <w:kern w:val="0"/>
                <w:sz w:val="21"/>
                <w:szCs w:val="21"/>
              </w:rPr>
            </w:pPr>
            <w:r>
              <w:rPr>
                <w:rFonts w:hint="eastAsia" w:ascii="仿宋_GB2312" w:hAnsi="Calibri" w:eastAsia="仿宋_GB2312" w:cs="仿宋_GB2312"/>
                <w:kern w:val="0"/>
                <w:sz w:val="21"/>
                <w:szCs w:val="21"/>
                <w:lang w:val="en-US" w:eastAsia="zh-CN" w:bidi="ar"/>
              </w:rPr>
              <w:t>2026年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lang w:val="en-US" w:eastAsia="zh-CN" w:bidi="ar"/>
              </w:rPr>
            </w:pPr>
            <w:r>
              <w:rPr>
                <w:rFonts w:hint="eastAsia" w:ascii="仿宋_GB2312" w:hAnsi="Calibri" w:eastAsia="仿宋_GB2312" w:cs="仿宋_GB2312"/>
                <w:kern w:val="0"/>
                <w:sz w:val="21"/>
                <w:szCs w:val="21"/>
                <w:lang w:val="en-US" w:eastAsia="zh-CN" w:bidi="ar"/>
              </w:rPr>
              <w:t>5-11月</w:t>
            </w:r>
          </w:p>
        </w:tc>
        <w:tc>
          <w:tcPr>
            <w:tcW w:w="33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20" w:lineRule="exact"/>
              <w:ind w:left="0" w:leftChars="0" w:right="0" w:firstLine="0" w:firstLineChars="0"/>
              <w:jc w:val="both"/>
              <w:textAlignment w:val="auto"/>
              <w:rPr>
                <w:rFonts w:hint="eastAsia" w:ascii="仿宋_GB2312" w:hAnsi="Calibri" w:eastAsia="仿宋_GB2312" w:cs="仿宋_GB2312"/>
                <w:kern w:val="0"/>
                <w:sz w:val="21"/>
                <w:szCs w:val="21"/>
                <w:lang w:val="en-US" w:eastAsia="zh-CN" w:bidi="ar"/>
              </w:rPr>
            </w:pPr>
            <w:r>
              <w:rPr>
                <w:rFonts w:hint="eastAsia" w:ascii="仿宋_GB2312" w:hAnsi="Calibri" w:eastAsia="仿宋_GB2312" w:cs="仿宋_GB2312"/>
                <w:kern w:val="0"/>
                <w:sz w:val="21"/>
                <w:szCs w:val="21"/>
                <w:lang w:val="en-US" w:eastAsia="zh-CN" w:bidi="ar"/>
              </w:rPr>
              <w:t>1次</w:t>
            </w:r>
          </w:p>
        </w:tc>
      </w:tr>
    </w:tbl>
    <w:p>
      <w:pPr>
        <w:keepNext w:val="0"/>
        <w:keepLines w:val="0"/>
        <w:widowControl/>
        <w:suppressLineNumbers w:val="0"/>
        <w:spacing w:before="0" w:beforeAutospacing="0" w:after="0" w:afterAutospacing="0" w:line="580" w:lineRule="exact"/>
        <w:ind w:left="0" w:right="0"/>
        <w:jc w:val="both"/>
        <w:rPr>
          <w:rFonts w:hint="eastAsia" w:ascii="仿宋_GB2312" w:hAnsi="Calibri" w:eastAsia="仿宋_GB2312" w:cs="仿宋_GB2312"/>
          <w:kern w:val="0"/>
          <w:sz w:val="32"/>
          <w:szCs w:val="32"/>
          <w:lang w:val="en-US" w:eastAsia="zh-CN" w:bidi="ar"/>
        </w:rPr>
        <w:sectPr>
          <w:footerReference r:id="rId3" w:type="default"/>
          <w:pgSz w:w="16838" w:h="11906" w:orient="landscape"/>
          <w:pgMar w:top="1587" w:right="1474" w:bottom="1134" w:left="1474" w:header="567" w:footer="1134" w:gutter="0"/>
          <w:cols w:space="425" w:num="1"/>
          <w:docGrid w:type="lines" w:linePitch="312" w:charSpace="0"/>
        </w:sectPr>
      </w:pPr>
    </w:p>
    <w:bookmarkEnd w:id="0"/>
    <w:bookmarkEnd w:id="1"/>
    <w:p>
      <w:pPr>
        <w:keepNext w:val="0"/>
        <w:keepLines w:val="0"/>
        <w:pageBreakBefore w:val="0"/>
        <w:widowControl w:val="0"/>
        <w:kinsoku/>
        <w:wordWrap/>
        <w:overflowPunct/>
        <w:topLinePunct w:val="0"/>
        <w:autoSpaceDE/>
        <w:autoSpaceDN/>
        <w:bidi w:val="0"/>
        <w:adjustRightInd/>
        <w:snapToGrid/>
        <w:spacing w:line="540" w:lineRule="exact"/>
        <w:ind w:right="-2"/>
        <w:jc w:val="both"/>
        <w:textAlignment w:val="auto"/>
        <w:outlineLvl w:val="9"/>
        <w:rPr>
          <w:rFonts w:hint="default" w:ascii="Times New Roman" w:hAnsi="Times New Roman" w:eastAsia="仿宋_GB2312" w:cs="Times New Roman"/>
          <w:b w:val="0"/>
          <w:bCs w:val="0"/>
          <w:spacing w:val="2"/>
          <w:kern w:val="2"/>
          <w:sz w:val="32"/>
          <w:szCs w:val="32"/>
          <w:lang w:val="en-US" w:eastAsia="zh-CN" w:bidi="ar-SA"/>
        </w:rPr>
      </w:pPr>
      <w:bookmarkStart w:id="2" w:name="_GoBack"/>
      <w:bookmarkEnd w:id="2"/>
    </w:p>
    <w:sectPr>
      <w:pgSz w:w="11906" w:h="16838"/>
      <w:pgMar w:top="1587" w:right="1474" w:bottom="1134" w:left="1474" w:header="567" w:footer="113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p>
    <w:pPr>
      <w:pStyle w:val="2"/>
      <w:rPr>
        <w:rFonts w:hint="eastAsia"/>
        <w:lang w:val="en-US" w:eastAsia="zh-C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0B7FB4"/>
    <w:rsid w:val="07F328B5"/>
    <w:rsid w:val="1FFADA2F"/>
    <w:rsid w:val="2C5C3CCC"/>
    <w:rsid w:val="2F3F86FB"/>
    <w:rsid w:val="337E236D"/>
    <w:rsid w:val="4FFB9012"/>
    <w:rsid w:val="66F9FB2B"/>
    <w:rsid w:val="675F04A7"/>
    <w:rsid w:val="7AE7C29E"/>
    <w:rsid w:val="7BE76D6F"/>
    <w:rsid w:val="7CCA97A2"/>
    <w:rsid w:val="8F77A166"/>
    <w:rsid w:val="BBFF3676"/>
    <w:rsid w:val="BF7F4E60"/>
    <w:rsid w:val="C3AF0D8D"/>
    <w:rsid w:val="CBF2B795"/>
    <w:rsid w:val="CECF5032"/>
    <w:rsid w:val="EFE93141"/>
    <w:rsid w:val="EFFBCE37"/>
    <w:rsid w:val="F76A9D36"/>
    <w:rsid w:val="F7BBAC2A"/>
    <w:rsid w:val="FE5FD0C6"/>
    <w:rsid w:val="FFFF9BC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7">
    <w:name w:val="正文 New"/>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0</Words>
  <Characters>0</Characters>
  <Lines>1</Lines>
  <Paragraphs>1</Paragraphs>
  <TotalTime>3</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2026-03-14T10:48:00Z</dcterms:created>
  <dc:creator>xifan</dc:creator>
  <cp:lastModifiedBy>xifan</cp:lastModifiedBy>
  <dcterms:modified xsi:type="dcterms:W3CDTF">2026-03-18T09:16:34Z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94986657ECE14B09B8D6402864AED3BE</vt:lpwstr>
  </property>
</Properties>
</file>