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6" w:lineRule="exact"/>
        <w:ind w:left="2640" w:hanging="2640" w:hangingChars="600"/>
        <w:rPr>
          <w:rFonts w:eastAsia="方正小标宋简体"/>
          <w:bCs/>
          <w:sz w:val="44"/>
          <w:szCs w:val="44"/>
        </w:rPr>
      </w:pPr>
    </w:p>
    <w:p>
      <w:pPr>
        <w:adjustRightInd w:val="0"/>
        <w:snapToGrid w:val="0"/>
        <w:spacing w:line="576" w:lineRule="exact"/>
        <w:ind w:left="2640" w:hanging="2640" w:hangingChars="600"/>
        <w:jc w:val="center"/>
        <w:rPr>
          <w:rFonts w:eastAsia="方正小标宋简体"/>
          <w:bCs/>
          <w:sz w:val="44"/>
          <w:szCs w:val="44"/>
        </w:rPr>
      </w:pPr>
    </w:p>
    <w:p>
      <w:pPr>
        <w:adjustRightInd w:val="0"/>
        <w:snapToGrid w:val="0"/>
        <w:spacing w:line="576" w:lineRule="exact"/>
        <w:ind w:left="2640" w:hanging="2640" w:hangingChars="600"/>
        <w:jc w:val="center"/>
        <w:rPr>
          <w:rFonts w:eastAsia="方正小标宋简体"/>
          <w:bCs/>
          <w:sz w:val="44"/>
          <w:szCs w:val="44"/>
        </w:rPr>
      </w:pPr>
      <w:r>
        <w:rPr>
          <w:rFonts w:hint="eastAsia" w:eastAsia="方正小标宋简体"/>
          <w:bCs/>
          <w:sz w:val="44"/>
          <w:szCs w:val="44"/>
        </w:rPr>
        <w:t>2020年中央和省级地质灾害防治专项资金项目</w:t>
      </w:r>
    </w:p>
    <w:p>
      <w:pPr>
        <w:adjustRightInd w:val="0"/>
        <w:snapToGrid w:val="0"/>
        <w:spacing w:line="576" w:lineRule="exact"/>
        <w:jc w:val="center"/>
        <w:rPr>
          <w:rFonts w:eastAsia="方正小标宋简体"/>
          <w:sz w:val="44"/>
          <w:szCs w:val="44"/>
        </w:rPr>
      </w:pPr>
      <w:r>
        <w:rPr>
          <w:rFonts w:hint="eastAsia" w:eastAsia="方正小标宋简体"/>
          <w:bCs/>
          <w:sz w:val="44"/>
          <w:szCs w:val="44"/>
        </w:rPr>
        <w:t>绩效自评</w:t>
      </w:r>
      <w:r>
        <w:rPr>
          <w:rFonts w:hint="eastAsia" w:eastAsia="方正小标宋简体"/>
          <w:sz w:val="44"/>
          <w:szCs w:val="44"/>
        </w:rPr>
        <w:t>报告</w:t>
      </w:r>
    </w:p>
    <w:p>
      <w:pPr>
        <w:spacing w:before="156" w:beforeLines="50" w:after="156" w:afterLines="50"/>
        <w:jc w:val="center"/>
        <w:rPr>
          <w:rFonts w:eastAsia="黑体"/>
          <w:sz w:val="44"/>
          <w:szCs w:val="44"/>
        </w:rPr>
      </w:pPr>
    </w:p>
    <w:p>
      <w:pPr>
        <w:spacing w:before="156" w:beforeLines="50" w:after="156" w:afterLines="50"/>
        <w:jc w:val="center"/>
        <w:rPr>
          <w:rFonts w:eastAsia="黑体"/>
          <w:sz w:val="44"/>
          <w:szCs w:val="44"/>
        </w:rPr>
      </w:pPr>
    </w:p>
    <w:p>
      <w:pPr>
        <w:spacing w:before="156" w:beforeLines="50" w:after="156" w:afterLines="50"/>
        <w:jc w:val="center"/>
        <w:rPr>
          <w:rFonts w:eastAsia="黑体"/>
          <w:sz w:val="44"/>
          <w:szCs w:val="44"/>
        </w:rPr>
      </w:pPr>
    </w:p>
    <w:p>
      <w:pPr>
        <w:pStyle w:val="2"/>
        <w:rPr>
          <w:rFonts w:hint="default" w:ascii="Times New Roman" w:hAnsi="Times New Roman" w:eastAsia="黑体"/>
          <w:sz w:val="44"/>
          <w:szCs w:val="44"/>
        </w:rPr>
      </w:pPr>
    </w:p>
    <w:p>
      <w:pPr>
        <w:pStyle w:val="2"/>
        <w:rPr>
          <w:rFonts w:hint="default" w:ascii="Times New Roman" w:hAnsi="Times New Roman"/>
        </w:rPr>
      </w:pPr>
    </w:p>
    <w:p/>
    <w:p>
      <w:pPr>
        <w:pStyle w:val="2"/>
        <w:rPr>
          <w:rFonts w:hint="default" w:ascii="Times New Roman" w:hAnsi="Times New Roman"/>
        </w:rPr>
      </w:pPr>
    </w:p>
    <w:p>
      <w:pPr>
        <w:spacing w:before="156" w:beforeLines="50" w:after="156" w:afterLines="50"/>
        <w:jc w:val="center"/>
        <w:rPr>
          <w:rFonts w:eastAsia="黑体"/>
          <w:sz w:val="44"/>
          <w:szCs w:val="44"/>
        </w:rPr>
      </w:pPr>
    </w:p>
    <w:p>
      <w:pPr>
        <w:pStyle w:val="9"/>
        <w:ind w:firstLine="0" w:firstLineChars="0"/>
        <w:rPr>
          <w:rFonts w:ascii="Times New Roman" w:hAnsi="Times New Roman" w:eastAsia="黑体"/>
          <w:sz w:val="44"/>
          <w:szCs w:val="44"/>
        </w:rPr>
      </w:pPr>
    </w:p>
    <w:p>
      <w:pPr>
        <w:snapToGrid w:val="0"/>
        <w:spacing w:line="360" w:lineRule="auto"/>
        <w:rPr>
          <w:sz w:val="32"/>
          <w:szCs w:val="32"/>
        </w:rPr>
      </w:pPr>
      <w:r>
        <w:rPr>
          <w:rFonts w:hint="eastAsia"/>
          <w:sz w:val="32"/>
          <w:szCs w:val="32"/>
        </w:rPr>
        <w:t xml:space="preserve">          部门名称：广东省自然资源厅</w:t>
      </w:r>
    </w:p>
    <w:p>
      <w:pPr>
        <w:snapToGrid w:val="0"/>
        <w:spacing w:line="360" w:lineRule="auto"/>
        <w:rPr>
          <w:sz w:val="32"/>
          <w:szCs w:val="32"/>
        </w:rPr>
      </w:pPr>
      <w:r>
        <w:rPr>
          <w:rFonts w:hint="eastAsia"/>
          <w:sz w:val="32"/>
          <w:szCs w:val="32"/>
        </w:rPr>
        <w:t xml:space="preserve">          填报人：廖忠浈</w:t>
      </w:r>
    </w:p>
    <w:p>
      <w:pPr>
        <w:snapToGrid w:val="0"/>
        <w:spacing w:line="360" w:lineRule="auto"/>
        <w:rPr>
          <w:sz w:val="32"/>
          <w:szCs w:val="32"/>
        </w:rPr>
      </w:pPr>
      <w:r>
        <w:rPr>
          <w:rFonts w:hint="eastAsia"/>
          <w:sz w:val="32"/>
          <w:szCs w:val="32"/>
        </w:rPr>
        <w:t xml:space="preserve">          联系电话：020-83620480</w:t>
      </w:r>
    </w:p>
    <w:p>
      <w:pPr>
        <w:snapToGrid w:val="0"/>
        <w:spacing w:line="360" w:lineRule="auto"/>
        <w:sectPr>
          <w:headerReference r:id="rId3" w:type="default"/>
          <w:footerReference r:id="rId4" w:type="default"/>
          <w:pgSz w:w="11906" w:h="16838"/>
          <w:pgMar w:top="2041" w:right="1417" w:bottom="1417" w:left="1531" w:header="851" w:footer="992" w:gutter="0"/>
          <w:pgNumType w:fmt="numberInDash"/>
          <w:cols w:space="720" w:num="1"/>
          <w:docGrid w:type="lines" w:linePitch="312" w:charSpace="0"/>
        </w:sectPr>
      </w:pPr>
      <w:r>
        <w:rPr>
          <w:rFonts w:hint="eastAsia"/>
          <w:sz w:val="32"/>
          <w:szCs w:val="32"/>
        </w:rPr>
        <w:t xml:space="preserve">          填报日期</w:t>
      </w:r>
      <w:bookmarkStart w:id="0" w:name="_Toc21411"/>
      <w:r>
        <w:rPr>
          <w:rFonts w:hint="eastAsia"/>
          <w:sz w:val="32"/>
          <w:szCs w:val="32"/>
        </w:rPr>
        <w:t>:2021年4月30日</w:t>
      </w:r>
    </w:p>
    <w:bookmarkEnd w:id="0"/>
    <w:p>
      <w:pPr>
        <w:numPr>
          <w:ilvl w:val="0"/>
          <w:numId w:val="1"/>
        </w:numPr>
        <w:ind w:firstLine="640" w:firstLineChars="200"/>
        <w:rPr>
          <w:rFonts w:eastAsia="黑体"/>
          <w:sz w:val="32"/>
          <w:szCs w:val="32"/>
        </w:rPr>
      </w:pPr>
      <w:bookmarkStart w:id="1" w:name="_Toc30733"/>
      <w:bookmarkStart w:id="2" w:name="_Toc6861"/>
      <w:bookmarkStart w:id="3" w:name="_Toc27308"/>
      <w:r>
        <w:rPr>
          <w:rFonts w:hint="eastAsia" w:eastAsia="黑体"/>
          <w:sz w:val="32"/>
          <w:szCs w:val="32"/>
        </w:rPr>
        <w:t>基本情况</w:t>
      </w:r>
      <w:bookmarkEnd w:id="1"/>
      <w:bookmarkEnd w:id="2"/>
      <w:bookmarkEnd w:id="3"/>
      <w:bookmarkStart w:id="4" w:name="_Toc29650"/>
      <w:bookmarkStart w:id="5" w:name="_Toc15195"/>
      <w:bookmarkStart w:id="6" w:name="_Toc14529"/>
      <w:bookmarkStart w:id="7" w:name="_Toc512491956"/>
    </w:p>
    <w:p>
      <w:pPr>
        <w:ind w:firstLine="640" w:firstLineChars="200"/>
        <w:rPr>
          <w:sz w:val="32"/>
          <w:szCs w:val="32"/>
        </w:rPr>
      </w:pPr>
      <w:r>
        <w:rPr>
          <w:rFonts w:hint="eastAsia" w:eastAsia="楷体_GB2312"/>
          <w:sz w:val="32"/>
          <w:szCs w:val="32"/>
        </w:rPr>
        <w:t>（一）项目基本情况</w:t>
      </w:r>
      <w:bookmarkEnd w:id="4"/>
      <w:bookmarkEnd w:id="5"/>
      <w:bookmarkEnd w:id="6"/>
      <w:bookmarkEnd w:id="7"/>
      <w:bookmarkStart w:id="8" w:name="_Toc17298"/>
      <w:bookmarkStart w:id="9" w:name="_Toc10811"/>
      <w:bookmarkStart w:id="10" w:name="_Toc512491958"/>
      <w:bookmarkStart w:id="11" w:name="_Toc18048"/>
    </w:p>
    <w:p>
      <w:pPr>
        <w:spacing w:line="600" w:lineRule="exact"/>
        <w:ind w:firstLine="640" w:firstLineChars="200"/>
        <w:rPr>
          <w:sz w:val="32"/>
          <w:szCs w:val="32"/>
        </w:rPr>
      </w:pPr>
      <w:r>
        <w:rPr>
          <w:rFonts w:hint="eastAsia"/>
          <w:sz w:val="32"/>
          <w:szCs w:val="32"/>
        </w:rPr>
        <w:t>根据广东省财政厅《关于下达中央财政2019年自然灾害防治体系建设补助资金（第一批）的通知》（粤财资环〔2019〕44号）、广东省财政厅《关于安排特大型地质灾害防治资金的通知》（粤财资环〔2020〕27号）、《广东省财政厅关于下达省级地质灾害防治专项资金的通知》（粤财资环〔2020〕14号）、《广东省财政厅关于下达中央财政2020年自然灾害防治体系建设补助资金（第一批）的通知》（粤财资环〔2020〕33号）、《广东省财政厅关于下达中央财政2020年自然灾害防治体系建设补助资金（第二批）的通知》（粤财资环〔2020〕64号）和《广东省财政厅关于收回部分项目资金并下达大型以上地质灾害隐患点专业监测建设资金的通知》（粤财资环〔2020〕93号），2019年下达中央财政地质灾害防治专项资金13360万元，2020年下达中央财政地质灾害防治专项资金13310万元、省级地质灾害防治专项资金34919.85万元。</w:t>
      </w:r>
    </w:p>
    <w:p>
      <w:pPr>
        <w:spacing w:line="600" w:lineRule="exact"/>
        <w:ind w:firstLine="640" w:firstLineChars="200"/>
        <w:rPr>
          <w:rFonts w:eastAsia="楷体_GB2312"/>
          <w:sz w:val="32"/>
          <w:szCs w:val="32"/>
        </w:rPr>
      </w:pPr>
      <w:r>
        <w:rPr>
          <w:rFonts w:hint="eastAsia" w:eastAsia="楷体_GB2312"/>
          <w:sz w:val="32"/>
          <w:szCs w:val="32"/>
        </w:rPr>
        <w:t>（二）项目决策情况</w:t>
      </w:r>
      <w:bookmarkEnd w:id="8"/>
      <w:bookmarkEnd w:id="9"/>
      <w:bookmarkEnd w:id="10"/>
      <w:bookmarkEnd w:id="11"/>
    </w:p>
    <w:p>
      <w:pPr>
        <w:spacing w:line="580" w:lineRule="exact"/>
        <w:ind w:firstLine="640" w:firstLineChars="200"/>
        <w:contextualSpacing/>
        <w:rPr>
          <w:sz w:val="32"/>
          <w:szCs w:val="32"/>
        </w:rPr>
      </w:pPr>
      <w:bookmarkStart w:id="12" w:name="_Toc1569"/>
      <w:bookmarkStart w:id="13" w:name="_Toc5103"/>
      <w:bookmarkStart w:id="14" w:name="_Toc3821"/>
      <w:bookmarkStart w:id="15" w:name="_Toc512491961"/>
      <w:r>
        <w:rPr>
          <w:rFonts w:hint="eastAsia"/>
          <w:sz w:val="32"/>
          <w:szCs w:val="32"/>
        </w:rPr>
        <w:t>根据自然资源部办公厅、财政部办公厅《中央特大型地质灾害防治资金项目储备库入库指南（2020年）》、《广东省自然资源厅关于做好2020年度省级地质灾害防治专项资金项目入库储备工作的通知》（粤自然资〔2019〕307号）、《广东省自然资源厅关于做好2020年度省级地质灾害防治专项资金项目入库储备工作的通知》（粤自然资〔2019〕755号），我厅严格按照自然资源部、财政部和省财政厅有关要求，认真组织做好项目申报、评审论证、入库储备、需求上报、项目实施方案复核等工作，从优遴选地质灾害防治项目，确保地质灾害防治专项资金用到实处，充分发挥效益</w:t>
      </w:r>
      <w:r>
        <w:rPr>
          <w:rFonts w:hint="eastAsia"/>
          <w:sz w:val="32"/>
          <w:szCs w:val="30"/>
        </w:rPr>
        <w:t>。</w:t>
      </w:r>
    </w:p>
    <w:p>
      <w:pPr>
        <w:ind w:firstLine="320" w:firstLineChars="100"/>
      </w:pPr>
      <w:r>
        <w:rPr>
          <w:rFonts w:hint="eastAsia" w:eastAsia="楷体_GB2312"/>
          <w:sz w:val="32"/>
          <w:szCs w:val="32"/>
        </w:rPr>
        <w:t>（三）绩效目标</w:t>
      </w:r>
      <w:bookmarkEnd w:id="12"/>
      <w:bookmarkEnd w:id="13"/>
      <w:bookmarkEnd w:id="14"/>
      <w:bookmarkEnd w:id="15"/>
    </w:p>
    <w:p>
      <w:pPr>
        <w:spacing w:line="580" w:lineRule="exact"/>
        <w:ind w:firstLine="643" w:firstLineChars="200"/>
        <w:contextualSpacing/>
        <w:rPr>
          <w:b/>
          <w:bCs/>
          <w:sz w:val="32"/>
          <w:szCs w:val="32"/>
        </w:rPr>
      </w:pPr>
      <w:bookmarkStart w:id="16" w:name="_Toc17236"/>
      <w:bookmarkStart w:id="17" w:name="_Toc18552"/>
      <w:bookmarkStart w:id="18" w:name="_Toc31750"/>
      <w:r>
        <w:rPr>
          <w:rFonts w:hint="eastAsia"/>
          <w:b/>
          <w:bCs/>
          <w:sz w:val="32"/>
          <w:szCs w:val="32"/>
        </w:rPr>
        <w:t>1.2019年度中央财政资金</w:t>
      </w:r>
    </w:p>
    <w:p>
      <w:pPr>
        <w:spacing w:line="580" w:lineRule="exact"/>
        <w:ind w:firstLine="640" w:firstLineChars="200"/>
        <w:contextualSpacing/>
        <w:rPr>
          <w:kern w:val="0"/>
          <w:sz w:val="32"/>
          <w:szCs w:val="32"/>
        </w:rPr>
      </w:pPr>
      <w:r>
        <w:rPr>
          <w:rFonts w:hint="eastAsia"/>
          <w:sz w:val="32"/>
          <w:szCs w:val="32"/>
        </w:rPr>
        <w:t>2019年中央财政资金共支持6个特大型地质灾害治理项目和1个地质灾害大数据管理平台建设项目。</w:t>
      </w:r>
      <w:r>
        <w:rPr>
          <w:rFonts w:hint="eastAsia"/>
          <w:kern w:val="0"/>
          <w:sz w:val="32"/>
          <w:szCs w:val="32"/>
        </w:rPr>
        <w:t>绩效目标为：消除威胁1000人以上特大型地质灾害隐患点6处，解除隐患点周边群众安全威胁；完成3个1:1万重点城镇地质灾害勘查示范项目和建设群测群防与在线监管系统。</w:t>
      </w:r>
    </w:p>
    <w:p>
      <w:pPr>
        <w:widowControl/>
        <w:spacing w:line="580" w:lineRule="exact"/>
        <w:ind w:firstLine="643" w:firstLineChars="200"/>
        <w:contextualSpacing/>
        <w:jc w:val="left"/>
        <w:rPr>
          <w:b/>
          <w:bCs/>
          <w:sz w:val="32"/>
          <w:szCs w:val="32"/>
        </w:rPr>
      </w:pPr>
      <w:r>
        <w:rPr>
          <w:rFonts w:hint="eastAsia"/>
          <w:b/>
          <w:bCs/>
          <w:sz w:val="32"/>
          <w:szCs w:val="32"/>
        </w:rPr>
        <w:t>2.2020年中央财政资金</w:t>
      </w:r>
    </w:p>
    <w:p>
      <w:pPr>
        <w:widowControl/>
        <w:spacing w:line="576" w:lineRule="exact"/>
        <w:ind w:firstLine="640" w:firstLineChars="200"/>
        <w:contextualSpacing/>
        <w:rPr>
          <w:sz w:val="32"/>
          <w:szCs w:val="32"/>
        </w:rPr>
      </w:pPr>
      <w:r>
        <w:rPr>
          <w:rFonts w:hint="eastAsia"/>
          <w:sz w:val="32"/>
          <w:szCs w:val="32"/>
        </w:rPr>
        <w:t>2020年中央财政资金共支持实施22个特大型地质灾害工程治理项目（19处施工、3处勘查设计）和2个地质灾害避险搬迁项目。绩效目标为：</w:t>
      </w:r>
      <w:r>
        <w:rPr>
          <w:rFonts w:hint="eastAsia"/>
          <w:color w:val="000000"/>
          <w:kern w:val="0"/>
          <w:szCs w:val="21"/>
        </w:rPr>
        <w:t>完成3处地质灾害隐患点勘查设计，查明隐患点有关情况，做好工程治理设计；实施2处地质灾害隐患点避险搬迁、18处</w:t>
      </w:r>
      <w:r>
        <w:rPr>
          <w:color w:val="000000"/>
          <w:kern w:val="0"/>
          <w:szCs w:val="21"/>
        </w:rPr>
        <w:t>地质灾害隐患点</w:t>
      </w:r>
      <w:r>
        <w:rPr>
          <w:rFonts w:hint="eastAsia"/>
          <w:color w:val="000000"/>
          <w:kern w:val="0"/>
          <w:szCs w:val="21"/>
        </w:rPr>
        <w:t>工程治理，保障9</w:t>
      </w:r>
      <w:r>
        <w:rPr>
          <w:color w:val="000000"/>
          <w:kern w:val="0"/>
          <w:szCs w:val="21"/>
        </w:rPr>
        <w:t>000</w:t>
      </w:r>
      <w:r>
        <w:rPr>
          <w:rFonts w:hint="eastAsia"/>
          <w:color w:val="000000"/>
          <w:kern w:val="0"/>
          <w:szCs w:val="21"/>
        </w:rPr>
        <w:t>名受威胁群众生命财产安全</w:t>
      </w:r>
      <w:r>
        <w:rPr>
          <w:color w:val="000000"/>
          <w:kern w:val="0"/>
          <w:szCs w:val="21"/>
        </w:rPr>
        <w:t>。</w:t>
      </w:r>
    </w:p>
    <w:p>
      <w:pPr>
        <w:pStyle w:val="3"/>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3.2020年省级财政资金</w:t>
      </w:r>
    </w:p>
    <w:p>
      <w:pPr>
        <w:widowControl/>
        <w:spacing w:line="576" w:lineRule="exact"/>
        <w:ind w:firstLine="640" w:firstLineChars="200"/>
        <w:contextualSpacing/>
        <w:rPr>
          <w:sz w:val="32"/>
          <w:szCs w:val="32"/>
        </w:rPr>
      </w:pPr>
      <w:r>
        <w:rPr>
          <w:rFonts w:hint="eastAsia"/>
          <w:sz w:val="32"/>
          <w:szCs w:val="32"/>
        </w:rPr>
        <w:t>2020年省级财政资金共支持实施全省大型以上地质灾害隐患点工程治理（勘查设计）125处、工程治理（施工）17处、避险搬迁14处和专业监测440处，以及广东省地质灾害防治移动应急指挥通信装备采购项目1个、广东省地质灾害大数据管理平台建设项目1个，群测群防与在线监管系统项目1个，广东省地质灾害防治技术支撑体系装备建设-群测群防简易监测工具采购项目、广东省地质灾害防治技术支撑体系装备建设-市、县地质灾害防治技术装备采购项目项目各1个、典型地质灾害成灾机理及其监测预警技术研究1个、省级地质灾害专业监测宣传项目2个。绩效目标为：实施地质灾害防治工程，维护人民生命和财产安全，促进经济和社会的可持续发展。不断提高地质灾害防灾减灾能力，避免群死群伤事件的发生，保障社会和谐稳定。开展粤东西北地区和珠三角部分地区的大型以上地质灾害隐患点避险搬迁、工程治理（勘查设计和施工）、专业监测；开展地质灾害大数据管理平台建设（一期）；开展地质灾害防治技术支撑体系装备建设；开展地质灾害监测预警技术研究工作，提高地质灾害预警预报能力；做好地质灾害隐患点专业监测宣传工作，提高群众地质灾害防灾避险能力，进一步降低群众因灾伤亡率。</w:t>
      </w:r>
    </w:p>
    <w:p>
      <w:pPr>
        <w:ind w:firstLine="640" w:firstLineChars="200"/>
      </w:pPr>
      <w:r>
        <w:rPr>
          <w:rFonts w:hint="eastAsia" w:eastAsia="黑体"/>
          <w:sz w:val="32"/>
          <w:szCs w:val="32"/>
        </w:rPr>
        <w:t>二、绩效自评工作组织情况</w:t>
      </w:r>
      <w:bookmarkEnd w:id="16"/>
      <w:bookmarkEnd w:id="17"/>
      <w:bookmarkEnd w:id="18"/>
      <w:bookmarkStart w:id="19" w:name="_Toc15256"/>
      <w:bookmarkStart w:id="20" w:name="_Toc9908"/>
      <w:bookmarkStart w:id="21" w:name="_Toc13161"/>
    </w:p>
    <w:p>
      <w:pPr>
        <w:ind w:firstLine="640" w:firstLineChars="200"/>
        <w:rPr>
          <w:sz w:val="32"/>
          <w:szCs w:val="32"/>
        </w:rPr>
      </w:pPr>
      <w:r>
        <w:rPr>
          <w:rFonts w:hint="eastAsia"/>
          <w:sz w:val="32"/>
          <w:szCs w:val="32"/>
        </w:rPr>
        <w:t>根据《广东省财政厅关于做好2021年省级财政重点绩效评价工作的通知》（粤财绩函〔2021〕3号）（以下简称“《通知》”），我厅立即下发《广东省自然资源厅</w:t>
      </w:r>
      <w:bookmarkStart w:id="55" w:name="_GoBack"/>
      <w:bookmarkEnd w:id="55"/>
      <w:r>
        <w:rPr>
          <w:rFonts w:hint="eastAsia"/>
          <w:sz w:val="32"/>
          <w:szCs w:val="32"/>
        </w:rPr>
        <w:t>关于开展2020年度中央和省级财政地质灾害防治资金绩效自评工作的通知》，传达学习省财政厅有关要求，明确各地、各单位要严格按照《通知》要求，对本地区2020年度中央和省级地质灾害防治专项资金使用情况进行绩效评价。指定专人负责，认真梳理相关项目进展情况和资金支出情况，组织编写自评材料，并提供对应佐证材料。</w:t>
      </w:r>
    </w:p>
    <w:p>
      <w:pPr>
        <w:pStyle w:val="3"/>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经各地材料上报、省级汇总，厅地质灾害防治专项资金绩效自评工作组对有关材料进行梳理、核查，并认真填写项目支出类基础信息表和项目支出绩效评价指标评分表，形成了2020年度中央和省级地质灾害防治专项资金绩效自评工作报告。</w:t>
      </w:r>
    </w:p>
    <w:p>
      <w:pPr>
        <w:pStyle w:val="3"/>
        <w:ind w:firstLine="640"/>
        <w:rPr>
          <w:rFonts w:ascii="Times New Roman" w:hAnsi="Times New Roman" w:cs="Times New Roman"/>
        </w:rPr>
      </w:pPr>
      <w:r>
        <w:rPr>
          <w:rFonts w:hint="eastAsia" w:ascii="Times New Roman" w:hAnsi="Times New Roman" w:eastAsia="黑体" w:cs="Times New Roman"/>
          <w:sz w:val="32"/>
          <w:szCs w:val="32"/>
        </w:rPr>
        <w:t>三、绩效自评结论</w:t>
      </w:r>
      <w:bookmarkEnd w:id="19"/>
      <w:bookmarkEnd w:id="20"/>
      <w:bookmarkEnd w:id="21"/>
    </w:p>
    <w:p>
      <w:pPr>
        <w:widowControl/>
        <w:ind w:left="150" w:leftChars="50" w:firstLine="640" w:firstLineChars="200"/>
        <w:jc w:val="left"/>
        <w:outlineLvl w:val="2"/>
        <w:rPr>
          <w:rFonts w:eastAsia="楷体_GB2312"/>
          <w:bCs/>
          <w:sz w:val="32"/>
          <w:szCs w:val="32"/>
        </w:rPr>
      </w:pPr>
      <w:bookmarkStart w:id="22" w:name="_Toc7950"/>
      <w:bookmarkStart w:id="23" w:name="_Toc4695"/>
      <w:bookmarkStart w:id="24" w:name="_Toc22609"/>
      <w:bookmarkStart w:id="25" w:name="_Toc512491960"/>
      <w:r>
        <w:rPr>
          <w:rFonts w:hint="eastAsia" w:eastAsia="楷体_GB2312"/>
          <w:bCs/>
          <w:sz w:val="32"/>
          <w:szCs w:val="32"/>
        </w:rPr>
        <w:t>（一）效益目标完成情况</w:t>
      </w:r>
    </w:p>
    <w:p>
      <w:pPr>
        <w:spacing w:line="580" w:lineRule="exact"/>
        <w:ind w:firstLine="643" w:firstLineChars="200"/>
        <w:contextualSpacing/>
        <w:rPr>
          <w:b/>
          <w:bCs/>
          <w:sz w:val="32"/>
          <w:szCs w:val="32"/>
        </w:rPr>
      </w:pPr>
      <w:r>
        <w:rPr>
          <w:rFonts w:hint="eastAsia"/>
          <w:b/>
          <w:bCs/>
          <w:sz w:val="32"/>
          <w:szCs w:val="32"/>
        </w:rPr>
        <w:t>1.2019年度中央财政资金</w:t>
      </w:r>
    </w:p>
    <w:p>
      <w:pPr>
        <w:spacing w:line="580" w:lineRule="exact"/>
        <w:ind w:firstLine="640" w:firstLineChars="200"/>
        <w:contextualSpacing/>
        <w:rPr>
          <w:sz w:val="32"/>
          <w:szCs w:val="32"/>
        </w:rPr>
      </w:pPr>
      <w:r>
        <w:rPr>
          <w:rFonts w:hint="eastAsia"/>
          <w:sz w:val="32"/>
          <w:szCs w:val="32"/>
        </w:rPr>
        <w:t>2019年中央财政资金共支持6个特大型地质灾害治理项目和1个地质灾害大数据管理平台建设项目。其中，</w:t>
      </w:r>
      <w:r>
        <w:rPr>
          <w:rFonts w:hint="eastAsia"/>
          <w:kern w:val="0"/>
          <w:sz w:val="32"/>
          <w:szCs w:val="32"/>
        </w:rPr>
        <w:t>梅州市大埔县三河镇梓里村滑坡避险搬迁项目正在建设新址、梅州市大埔县高陂镇古西村鹤山片滑坡群工程治理项目正在施工、茂名市信宜市梅岗公园特大型滑坡工程治理项目正在施工、清远市清新区石潭镇蒲坑滑坡群治理项目已完成竣工验收、清远市连山瑶族自治县太保镇茂古村特大型滑坡治理项目已完成竣工验收、潮州市韩山师范学院东区E、F幢学生宿舍崩塌特大型地质灾害工程治理项目正在施工、地质灾害大数据管理平台（一期）包含的4个子项目已完成初步验收。</w:t>
      </w:r>
    </w:p>
    <w:p>
      <w:pPr>
        <w:spacing w:line="580" w:lineRule="exact"/>
        <w:ind w:firstLine="643" w:firstLineChars="200"/>
        <w:contextualSpacing/>
        <w:rPr>
          <w:b/>
          <w:bCs/>
          <w:sz w:val="32"/>
          <w:szCs w:val="32"/>
        </w:rPr>
      </w:pPr>
      <w:r>
        <w:rPr>
          <w:rFonts w:hint="eastAsia"/>
          <w:b/>
          <w:bCs/>
          <w:sz w:val="32"/>
          <w:szCs w:val="32"/>
        </w:rPr>
        <w:t>2.2020年度中央财政资金</w:t>
      </w:r>
    </w:p>
    <w:p>
      <w:pPr>
        <w:spacing w:line="580" w:lineRule="exact"/>
        <w:ind w:firstLine="640" w:firstLineChars="200"/>
        <w:contextualSpacing/>
        <w:rPr>
          <w:sz w:val="32"/>
          <w:szCs w:val="32"/>
        </w:rPr>
      </w:pPr>
      <w:r>
        <w:rPr>
          <w:rFonts w:hint="eastAsia"/>
          <w:sz w:val="32"/>
          <w:szCs w:val="32"/>
        </w:rPr>
        <w:t>2020年中央财政资金支持的24个综合治理项目已全部组织实施，总体绩效目标完成率为100%。其中3个工程治理（勘查设计）项目已完成，完成率100%；19个工程治理（施工）项目正在加快实施，实施率为100%；2个避险搬迁项目，其中1个搬迁项目已完成，另外1个搬迁项目因群众意愿不高等实际困难，已调整为工程治理措施，并完成勘查设计，正在加快实施，实施率100%。</w:t>
      </w:r>
    </w:p>
    <w:p>
      <w:pPr>
        <w:pStyle w:val="3"/>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3.2020年度省级财政资金</w:t>
      </w:r>
    </w:p>
    <w:p>
      <w:pPr>
        <w:pStyle w:val="3"/>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2020年省级财政资金共支持的项目中，大型以上地质灾害隐患点工程治理（勘查设计）项目125处已全部完成；工程治理（施工）项目17处中，有3处已完成初步验收、7处已竣工、1处已完成主体工程、5处正在施工、1处因资金不足目前尚未开工；避险搬迁项目14处中，4处已完成搬迁工作、1处已完成新址建设、9处正在开展新址建设；大型以上地质灾害隐患点专业监测440处已全部完成监测点建设。</w:t>
      </w:r>
    </w:p>
    <w:p>
      <w:pPr>
        <w:pStyle w:val="3"/>
        <w:ind w:firstLine="640" w:firstLineChars="200"/>
        <w:rPr>
          <w:rFonts w:ascii="Times New Roman" w:hAnsi="Times New Roman" w:eastAsia="仿宋_GB2312" w:cs="Times New Roman"/>
        </w:rPr>
      </w:pPr>
      <w:r>
        <w:rPr>
          <w:rFonts w:hint="eastAsia" w:ascii="Times New Roman" w:hAnsi="Times New Roman" w:eastAsia="仿宋_GB2312" w:cs="Times New Roman"/>
          <w:sz w:val="32"/>
          <w:szCs w:val="32"/>
        </w:rPr>
        <w:t>广东省地质灾害防治移动应急指挥通信装备采购项目已完成设计评审，正在进行设备采购与联调；广东省地质灾害大数据管理平台建设项目已完成设计评审，正在进行系统开发；群测群防与在线监管系统2个子项目均已完成野外验收；广东省地质灾害防治技术支撑体系装备建设-群测群防简易监测工具采购项目、广东省地质灾害防治技术支撑体系装备建设-市、县地质灾害防治技术装备采购项目均已完成验收；典型地质灾害成灾机理及其监测预警技术研究项目已完成设计评审，目前正在开展研究工作；省级地质灾害专业监测宣传项目（一）已完成设计评审，正在有序实施；省级地质灾害专业监测宣传项目（二）已完成验收。</w:t>
      </w:r>
    </w:p>
    <w:p>
      <w:pPr>
        <w:spacing w:line="580" w:lineRule="exact"/>
        <w:ind w:firstLine="640"/>
        <w:contextualSpacing/>
        <w:rPr>
          <w:rFonts w:eastAsia="楷体_GB2312"/>
          <w:sz w:val="32"/>
          <w:szCs w:val="32"/>
        </w:rPr>
      </w:pPr>
      <w:r>
        <w:rPr>
          <w:rFonts w:hint="eastAsia" w:eastAsia="楷体_GB2312"/>
          <w:sz w:val="32"/>
          <w:szCs w:val="32"/>
        </w:rPr>
        <w:t>（三）绩效指标完成情况分析</w:t>
      </w:r>
    </w:p>
    <w:p>
      <w:pPr>
        <w:spacing w:line="580" w:lineRule="exact"/>
        <w:ind w:firstLine="640"/>
        <w:contextualSpacing/>
        <w:rPr>
          <w:b/>
          <w:bCs/>
          <w:sz w:val="32"/>
          <w:szCs w:val="32"/>
        </w:rPr>
      </w:pPr>
      <w:r>
        <w:rPr>
          <w:rFonts w:hint="eastAsia"/>
          <w:b/>
          <w:bCs/>
          <w:sz w:val="32"/>
          <w:szCs w:val="32"/>
        </w:rPr>
        <w:t>1.产出指标完成情况分析</w:t>
      </w:r>
    </w:p>
    <w:p>
      <w:pPr>
        <w:adjustRightInd w:val="0"/>
        <w:spacing w:line="580" w:lineRule="exact"/>
        <w:ind w:right="321" w:rightChars="107" w:firstLine="640" w:firstLineChars="200"/>
        <w:contextualSpacing/>
        <w:rPr>
          <w:kern w:val="0"/>
          <w:sz w:val="32"/>
          <w:szCs w:val="32"/>
        </w:rPr>
      </w:pPr>
      <w:r>
        <w:rPr>
          <w:rFonts w:hint="eastAsia"/>
          <w:sz w:val="32"/>
          <w:szCs w:val="32"/>
        </w:rPr>
        <w:t>128个地质灾害工程治理（勘查设计）项目完成率100%；42个地质灾害工程治理（施工）项目实施率为100%；16个地质灾害避险搬迁项目实施率为100%；440处专业监测点建设项目完成率为100%；地质灾害大数据管理平台3个子项目实施率为100%、防治技术支撑体系装备建设2个子项目实施率均为100%；典型地质灾害成灾机理及其监测预警技术研究项目和2个省级地质灾害专业监测宣传项目实施率均为100%，且均达到数量指标、质量指标和时效指标要求。</w:t>
      </w:r>
    </w:p>
    <w:p>
      <w:pPr>
        <w:adjustRightInd w:val="0"/>
        <w:spacing w:line="580" w:lineRule="exact"/>
        <w:ind w:right="321" w:rightChars="107" w:firstLine="643" w:firstLineChars="200"/>
        <w:contextualSpacing/>
        <w:rPr>
          <w:sz w:val="32"/>
          <w:szCs w:val="30"/>
        </w:rPr>
      </w:pPr>
      <w:r>
        <w:rPr>
          <w:rFonts w:hint="eastAsia"/>
          <w:b/>
          <w:bCs/>
          <w:sz w:val="32"/>
          <w:szCs w:val="32"/>
        </w:rPr>
        <w:t>2.效益指标完成情况分析</w:t>
      </w:r>
    </w:p>
    <w:p>
      <w:pPr>
        <w:spacing w:line="580" w:lineRule="exact"/>
        <w:ind w:firstLine="640"/>
        <w:contextualSpacing/>
        <w:rPr>
          <w:b/>
          <w:bCs/>
          <w:sz w:val="32"/>
          <w:szCs w:val="32"/>
        </w:rPr>
      </w:pPr>
      <w:r>
        <w:rPr>
          <w:rFonts w:hint="eastAsia"/>
          <w:b/>
          <w:bCs/>
          <w:sz w:val="32"/>
          <w:szCs w:val="32"/>
        </w:rPr>
        <w:t>（1）经济效益</w:t>
      </w:r>
    </w:p>
    <w:p>
      <w:pPr>
        <w:spacing w:line="580" w:lineRule="exact"/>
        <w:ind w:firstLine="640" w:firstLineChars="200"/>
        <w:contextualSpacing/>
        <w:jc w:val="left"/>
        <w:rPr>
          <w:sz w:val="32"/>
          <w:szCs w:val="32"/>
        </w:rPr>
      </w:pPr>
      <w:bookmarkStart w:id="26" w:name="_Hlk66944431"/>
      <w:r>
        <w:rPr>
          <w:rFonts w:hint="eastAsia"/>
          <w:sz w:val="32"/>
          <w:szCs w:val="32"/>
        </w:rPr>
        <w:t>通过实施地质灾害防治工程，</w:t>
      </w:r>
      <w:bookmarkEnd w:id="26"/>
      <w:r>
        <w:rPr>
          <w:rFonts w:hint="eastAsia"/>
          <w:sz w:val="32"/>
          <w:szCs w:val="32"/>
        </w:rPr>
        <w:t>采取工程治理、避险搬迁和专业监测措施，可解除人民群众受威胁财产6.94亿元，提升地质灾害预警预报能力。</w:t>
      </w:r>
    </w:p>
    <w:p>
      <w:pPr>
        <w:numPr>
          <w:ilvl w:val="0"/>
          <w:numId w:val="2"/>
        </w:numPr>
        <w:spacing w:line="580" w:lineRule="exact"/>
        <w:ind w:firstLine="640"/>
        <w:contextualSpacing/>
        <w:rPr>
          <w:b/>
          <w:bCs/>
          <w:sz w:val="32"/>
          <w:szCs w:val="32"/>
        </w:rPr>
      </w:pPr>
      <w:r>
        <w:rPr>
          <w:rFonts w:hint="eastAsia"/>
          <w:b/>
          <w:bCs/>
          <w:sz w:val="32"/>
          <w:szCs w:val="32"/>
        </w:rPr>
        <w:t>社会效益</w:t>
      </w:r>
    </w:p>
    <w:p>
      <w:pPr>
        <w:spacing w:line="580" w:lineRule="exact"/>
        <w:ind w:firstLine="640"/>
        <w:contextualSpacing/>
        <w:rPr>
          <w:sz w:val="32"/>
          <w:szCs w:val="32"/>
        </w:rPr>
      </w:pPr>
      <w:r>
        <w:rPr>
          <w:rFonts w:hint="eastAsia"/>
          <w:sz w:val="32"/>
          <w:szCs w:val="32"/>
        </w:rPr>
        <w:t>通过实施地质灾害防治工程，采取工程治理和避险搬迁措施，减少地质灾害威胁人员30%，提升了专业监测区域群众生命财产安全保障能力。</w:t>
      </w:r>
    </w:p>
    <w:p>
      <w:pPr>
        <w:pStyle w:val="3"/>
        <w:numPr>
          <w:ilvl w:val="0"/>
          <w:numId w:val="2"/>
        </w:numPr>
        <w:ind w:firstLine="64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环境效益</w:t>
      </w:r>
    </w:p>
    <w:p>
      <w:pPr>
        <w:pStyle w:val="3"/>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通过实施地质灾害防治工程，实现大型以上地质灾害隐患点工程治理率为35%，大型以上地质灾害隐患点专业监测率为98%。</w:t>
      </w:r>
    </w:p>
    <w:p>
      <w:pPr>
        <w:pStyle w:val="13"/>
        <w:ind w:firstLine="640" w:firstLineChars="200"/>
        <w:rPr>
          <w:rFonts w:ascii="Times New Roman"/>
          <w:szCs w:val="32"/>
        </w:rPr>
      </w:pPr>
      <w:r>
        <w:rPr>
          <w:rFonts w:hint="eastAsia" w:ascii="Times New Roman"/>
          <w:szCs w:val="32"/>
        </w:rPr>
        <w:t>综上所述，</w:t>
      </w:r>
      <w:r>
        <w:rPr>
          <w:rFonts w:ascii="Times New Roman"/>
          <w:szCs w:val="32"/>
        </w:rPr>
        <w:t>20</w:t>
      </w:r>
      <w:r>
        <w:rPr>
          <w:rFonts w:hint="eastAsia" w:ascii="Times New Roman"/>
          <w:szCs w:val="32"/>
        </w:rPr>
        <w:t>19、2020年中央财政和2020年省级地质灾害防治专项资金</w:t>
      </w:r>
      <w:r>
        <w:rPr>
          <w:rFonts w:ascii="Times New Roman"/>
          <w:szCs w:val="32"/>
        </w:rPr>
        <w:t>涉及的数量指标、</w:t>
      </w:r>
      <w:r>
        <w:rPr>
          <w:rFonts w:hint="eastAsia" w:ascii="Times New Roman"/>
          <w:szCs w:val="32"/>
        </w:rPr>
        <w:t>质量指标、时效</w:t>
      </w:r>
      <w:r>
        <w:rPr>
          <w:rFonts w:ascii="Times New Roman"/>
          <w:szCs w:val="32"/>
        </w:rPr>
        <w:t>指标、经济效益、社会效益</w:t>
      </w:r>
      <w:r>
        <w:rPr>
          <w:rFonts w:hint="eastAsia" w:ascii="Times New Roman"/>
          <w:szCs w:val="32"/>
        </w:rPr>
        <w:t>、环境效益</w:t>
      </w:r>
      <w:r>
        <w:rPr>
          <w:rFonts w:ascii="Times New Roman"/>
          <w:szCs w:val="32"/>
        </w:rPr>
        <w:t>等</w:t>
      </w:r>
      <w:r>
        <w:rPr>
          <w:rFonts w:hint="eastAsia" w:ascii="Times New Roman"/>
          <w:szCs w:val="32"/>
        </w:rPr>
        <w:t>阶段性</w:t>
      </w:r>
      <w:r>
        <w:rPr>
          <w:rFonts w:ascii="Times New Roman"/>
          <w:szCs w:val="32"/>
        </w:rPr>
        <w:t>绩效目标全部完成。</w:t>
      </w:r>
    </w:p>
    <w:p>
      <w:pPr>
        <w:widowControl/>
        <w:ind w:left="150" w:leftChars="50" w:firstLine="640" w:firstLineChars="200"/>
        <w:jc w:val="left"/>
        <w:outlineLvl w:val="2"/>
        <w:rPr>
          <w:rFonts w:eastAsia="楷体_GB2312"/>
          <w:bCs/>
          <w:sz w:val="32"/>
          <w:szCs w:val="32"/>
        </w:rPr>
      </w:pPr>
      <w:r>
        <w:rPr>
          <w:rFonts w:hint="eastAsia" w:eastAsia="楷体_GB2312"/>
          <w:bCs/>
          <w:sz w:val="32"/>
          <w:szCs w:val="32"/>
        </w:rPr>
        <w:t>（三）综合自评结论</w:t>
      </w:r>
    </w:p>
    <w:p>
      <w:pPr>
        <w:ind w:firstLine="640" w:firstLineChars="200"/>
        <w:rPr>
          <w:rFonts w:eastAsia="黑体"/>
          <w:sz w:val="32"/>
          <w:szCs w:val="32"/>
        </w:rPr>
      </w:pPr>
      <w:r>
        <w:rPr>
          <w:rFonts w:hint="eastAsia"/>
          <w:sz w:val="32"/>
          <w:szCs w:val="32"/>
        </w:rPr>
        <w:t>我厅高度重视地质灾害防治工作，</w:t>
      </w:r>
      <w:r>
        <w:rPr>
          <w:sz w:val="32"/>
          <w:szCs w:val="32"/>
        </w:rPr>
        <w:t>建立了科学严密的组织管理体系、完善了专项资金</w:t>
      </w:r>
      <w:r>
        <w:rPr>
          <w:rFonts w:hint="eastAsia"/>
          <w:sz w:val="32"/>
          <w:szCs w:val="32"/>
        </w:rPr>
        <w:t>和项目</w:t>
      </w:r>
      <w:r>
        <w:rPr>
          <w:sz w:val="32"/>
          <w:szCs w:val="32"/>
        </w:rPr>
        <w:t>管理办法、制订了相对适用的技术标准规程、合理编制了总体方案及年度实施方案、形成了一套系统的防灾机制，提炼了一套相对成熟的</w:t>
      </w:r>
      <w:r>
        <w:rPr>
          <w:rFonts w:hint="eastAsia"/>
          <w:sz w:val="32"/>
          <w:szCs w:val="32"/>
        </w:rPr>
        <w:t>综合防治体系</w:t>
      </w:r>
      <w:r>
        <w:rPr>
          <w:sz w:val="32"/>
          <w:szCs w:val="32"/>
        </w:rPr>
        <w:t>建设经验。实施期内，因灾伤亡人数保持低位、因灾财产损失明显降低、地质灾害隐患大量核减、地质灾害险情初步控制</w:t>
      </w:r>
      <w:r>
        <w:rPr>
          <w:rFonts w:hint="eastAsia"/>
          <w:sz w:val="32"/>
          <w:szCs w:val="32"/>
        </w:rPr>
        <w:t>，有效消除地质灾害隐患点800个，治理工程及搬迁避让项目保护8万人安全，实现地质灾害成功避险4起，避免人员伤亡95人，取得了显著的防灾工</w:t>
      </w:r>
      <w:r>
        <w:rPr>
          <w:sz w:val="32"/>
          <w:szCs w:val="32"/>
        </w:rPr>
        <w:t>作阶段性成效</w:t>
      </w:r>
      <w:r>
        <w:rPr>
          <w:rFonts w:hint="eastAsia"/>
          <w:sz w:val="32"/>
          <w:szCs w:val="32"/>
        </w:rPr>
        <w:t>。</w:t>
      </w:r>
      <w:r>
        <w:rPr>
          <w:sz w:val="32"/>
          <w:szCs w:val="32"/>
        </w:rPr>
        <w:t>全面完成了</w:t>
      </w:r>
      <w:r>
        <w:rPr>
          <w:rFonts w:hint="eastAsia"/>
          <w:sz w:val="32"/>
          <w:szCs w:val="32"/>
        </w:rPr>
        <w:t>广东省财政厅《关于下达中央财政2019年自然灾害防治体系建设补助资金（第一批）的通知》（粤财资环〔2019〕44号）、广东省财政厅《关于安排特大型地质灾害防治资金的通知》（粤财资环〔2020〕27号）、《广东省财政厅关于下达省级地质灾害防治专项资金的通知》（粤财资环〔2020〕14号）、《广东省财政厅关于下达中央财政2020年自然灾害防治体系建设补助资金（第一批）的通知》（粤财资环〔2020〕33号）、《广东省财政厅关于下达中央财政2020年自然灾害防治体系建设补助资金（第二批）的通知》（粤财资环〔2020〕64号）和《广东省财政厅关于收回部分项目资金并下达大型以上地质灾害隐患点专业监测建设资金的通知》（粤财资环〔2020〕93号）</w:t>
      </w:r>
      <w:r>
        <w:rPr>
          <w:szCs w:val="32"/>
        </w:rPr>
        <w:t>明确</w:t>
      </w:r>
      <w:r>
        <w:rPr>
          <w:sz w:val="32"/>
          <w:szCs w:val="32"/>
        </w:rPr>
        <w:t>的各项</w:t>
      </w:r>
      <w:r>
        <w:rPr>
          <w:rFonts w:hint="eastAsia"/>
          <w:sz w:val="32"/>
          <w:szCs w:val="32"/>
        </w:rPr>
        <w:t>阶段性</w:t>
      </w:r>
      <w:r>
        <w:rPr>
          <w:sz w:val="32"/>
          <w:szCs w:val="32"/>
        </w:rPr>
        <w:t>绩效目标</w:t>
      </w:r>
      <w:r>
        <w:rPr>
          <w:rFonts w:hint="eastAsia"/>
          <w:sz w:val="32"/>
          <w:szCs w:val="32"/>
        </w:rPr>
        <w:t>，自评得分99分</w:t>
      </w:r>
      <w:r>
        <w:rPr>
          <w:sz w:val="32"/>
          <w:szCs w:val="32"/>
        </w:rPr>
        <w:t>。</w:t>
      </w:r>
    </w:p>
    <w:p>
      <w:pPr>
        <w:ind w:firstLine="640" w:firstLineChars="200"/>
      </w:pPr>
      <w:r>
        <w:rPr>
          <w:rFonts w:hint="eastAsia" w:eastAsia="黑体"/>
          <w:sz w:val="32"/>
          <w:szCs w:val="32"/>
        </w:rPr>
        <w:t>四、绩效指标分析</w:t>
      </w:r>
      <w:bookmarkEnd w:id="22"/>
      <w:bookmarkEnd w:id="23"/>
      <w:bookmarkEnd w:id="24"/>
      <w:bookmarkStart w:id="27" w:name="_Toc453_WPSOffice_Level3"/>
    </w:p>
    <w:p>
      <w:pPr>
        <w:ind w:firstLine="640" w:firstLineChars="200"/>
        <w:rPr>
          <w:rFonts w:eastAsia="楷体_GB2312"/>
          <w:sz w:val="32"/>
          <w:szCs w:val="32"/>
        </w:rPr>
      </w:pPr>
      <w:bookmarkStart w:id="28" w:name="_Toc12570"/>
      <w:bookmarkStart w:id="29" w:name="_Toc1426"/>
      <w:bookmarkStart w:id="30" w:name="_Toc1940"/>
      <w:r>
        <w:rPr>
          <w:rFonts w:hint="eastAsia" w:eastAsia="楷体_GB2312"/>
          <w:sz w:val="32"/>
          <w:szCs w:val="32"/>
        </w:rPr>
        <w:t>（一）决策分析</w:t>
      </w:r>
      <w:bookmarkEnd w:id="27"/>
      <w:bookmarkEnd w:id="28"/>
      <w:bookmarkEnd w:id="29"/>
      <w:bookmarkEnd w:id="30"/>
    </w:p>
    <w:p>
      <w:pPr>
        <w:ind w:firstLine="643" w:firstLineChars="200"/>
        <w:rPr>
          <w:b/>
          <w:bCs/>
          <w:sz w:val="32"/>
          <w:szCs w:val="32"/>
        </w:rPr>
      </w:pPr>
      <w:r>
        <w:rPr>
          <w:rFonts w:hint="eastAsia"/>
          <w:b/>
          <w:bCs/>
          <w:sz w:val="32"/>
          <w:szCs w:val="32"/>
        </w:rPr>
        <w:t>1.项目立项情况</w:t>
      </w:r>
    </w:p>
    <w:p>
      <w:pPr>
        <w:ind w:firstLine="600" w:firstLineChars="200"/>
      </w:pPr>
      <w:r>
        <w:rPr>
          <w:rFonts w:hint="eastAsia"/>
        </w:rPr>
        <w:t>（1）论证决策。省级以上地质灾害防治专项资金项目入库前均已编制可行性研究报告，并经各实施单位集体研究决定。</w:t>
      </w:r>
    </w:p>
    <w:p>
      <w:pPr>
        <w:ind w:firstLine="600" w:firstLineChars="200"/>
        <w:rPr>
          <w:sz w:val="32"/>
          <w:szCs w:val="32"/>
        </w:rPr>
      </w:pPr>
      <w:r>
        <w:rPr>
          <w:rFonts w:hint="eastAsia"/>
        </w:rPr>
        <w:t>（2）目标设置。根据《广东省地质灾害防治三年行动方案（2020-2022）》，2022年底前，基本完成全省在册威胁100人以上的大型及以上地质灾害隐患点综合治理、基本建成地质灾害</w:t>
      </w:r>
      <w:r>
        <w:rPr>
          <w:rFonts w:hint="eastAsia"/>
          <w:sz w:val="32"/>
          <w:szCs w:val="32"/>
        </w:rPr>
        <w:t>大数据管理平台，建成更加完善、覆盖全省的群测群防体系和地质灾害防治技术支撑体系，全面提高全省地质灾害防治能力。</w:t>
      </w:r>
    </w:p>
    <w:p>
      <w:pPr>
        <w:ind w:firstLine="640" w:firstLineChars="200"/>
        <w:rPr>
          <w:sz w:val="32"/>
          <w:szCs w:val="32"/>
        </w:rPr>
      </w:pPr>
      <w:r>
        <w:rPr>
          <w:rFonts w:hint="eastAsia"/>
          <w:sz w:val="32"/>
          <w:szCs w:val="32"/>
        </w:rPr>
        <w:t>（3）保障措施</w:t>
      </w:r>
    </w:p>
    <w:p>
      <w:pPr>
        <w:ind w:firstLine="640" w:firstLineChars="200"/>
        <w:rPr>
          <w:sz w:val="32"/>
          <w:szCs w:val="32"/>
        </w:rPr>
      </w:pPr>
      <w:r>
        <w:rPr>
          <w:rFonts w:hint="eastAsia"/>
          <w:sz w:val="32"/>
          <w:szCs w:val="32"/>
        </w:rPr>
        <w:t>根据《广东省地质灾害防治三年行动方案（2020-2022）》，建立地质灾害防治工作协调机制，统筹推进我省地质灾害防治工作。明确了加强组织领导、强化规划及用地保障、做好资金保障、加快项目实施和加大宣传力度等五大保障措施。</w:t>
      </w:r>
    </w:p>
    <w:p>
      <w:pPr>
        <w:ind w:firstLine="643" w:firstLineChars="200"/>
        <w:rPr>
          <w:b/>
          <w:bCs/>
          <w:sz w:val="32"/>
          <w:szCs w:val="32"/>
        </w:rPr>
      </w:pPr>
      <w:r>
        <w:rPr>
          <w:rFonts w:hint="eastAsia"/>
          <w:b/>
          <w:bCs/>
          <w:sz w:val="32"/>
          <w:szCs w:val="32"/>
        </w:rPr>
        <w:t>2.资金落实情况</w:t>
      </w:r>
    </w:p>
    <w:p>
      <w:pPr>
        <w:ind w:firstLine="600" w:firstLineChars="200"/>
      </w:pPr>
      <w:r>
        <w:rPr>
          <w:rFonts w:hint="eastAsia"/>
        </w:rPr>
        <w:t>（1）资金到位</w:t>
      </w:r>
    </w:p>
    <w:p>
      <w:pPr>
        <w:ind w:firstLine="600" w:firstLineChars="200"/>
      </w:pPr>
      <w:r>
        <w:rPr>
          <w:rFonts w:hint="eastAsia"/>
        </w:rPr>
        <w:t>2019年安排中央财政资金1.366亿元；2020年安排省级财政资金3.491985亿元、中央财政资金1.331亿元。</w:t>
      </w:r>
    </w:p>
    <w:p>
      <w:pPr>
        <w:ind w:firstLine="600" w:firstLineChars="200"/>
      </w:pPr>
      <w:r>
        <w:rPr>
          <w:rFonts w:hint="eastAsia"/>
        </w:rPr>
        <w:t>（2）资金分配</w:t>
      </w:r>
    </w:p>
    <w:p>
      <w:pPr>
        <w:ind w:firstLine="600" w:firstLineChars="200"/>
      </w:pPr>
      <w:r>
        <w:rPr>
          <w:rFonts w:hint="eastAsia"/>
        </w:rPr>
        <w:t>根据《广东省地质灾害防治三年行动方案（2020-2022）》工作部署，按照项目法制定省级以上地质灾害防治专项资金分配方案，经厅党组审议后报省财政厅申请下达资金。</w:t>
      </w:r>
    </w:p>
    <w:p>
      <w:pPr>
        <w:ind w:firstLine="640" w:firstLineChars="200"/>
        <w:rPr>
          <w:rFonts w:eastAsia="楷体_GB2312"/>
          <w:sz w:val="32"/>
          <w:szCs w:val="32"/>
        </w:rPr>
      </w:pPr>
      <w:bookmarkStart w:id="31" w:name="_Toc18617_WPSOffice_Level3"/>
      <w:bookmarkStart w:id="32" w:name="_Toc7393"/>
      <w:bookmarkStart w:id="33" w:name="_Toc30614"/>
      <w:bookmarkStart w:id="34" w:name="_Toc24031"/>
      <w:r>
        <w:rPr>
          <w:rFonts w:hint="eastAsia" w:eastAsia="楷体_GB2312"/>
          <w:sz w:val="32"/>
          <w:szCs w:val="32"/>
        </w:rPr>
        <w:t>（二）管理分析</w:t>
      </w:r>
      <w:bookmarkEnd w:id="31"/>
      <w:bookmarkEnd w:id="32"/>
      <w:bookmarkEnd w:id="33"/>
      <w:bookmarkEnd w:id="34"/>
    </w:p>
    <w:p>
      <w:pPr>
        <w:ind w:firstLine="643" w:firstLineChars="200"/>
        <w:rPr>
          <w:b/>
          <w:bCs/>
          <w:sz w:val="32"/>
          <w:szCs w:val="32"/>
        </w:rPr>
      </w:pPr>
      <w:r>
        <w:rPr>
          <w:rFonts w:hint="eastAsia"/>
          <w:b/>
          <w:bCs/>
          <w:sz w:val="32"/>
          <w:szCs w:val="32"/>
        </w:rPr>
        <w:t>1.资金管理。</w:t>
      </w:r>
    </w:p>
    <w:p>
      <w:pPr>
        <w:ind w:firstLine="600" w:firstLineChars="200"/>
      </w:pPr>
      <w:r>
        <w:rPr>
          <w:rFonts w:hint="eastAsia"/>
        </w:rPr>
        <w:t>（1）资金支付</w:t>
      </w:r>
    </w:p>
    <w:p>
      <w:pPr>
        <w:pStyle w:val="3"/>
        <w:ind w:firstLine="640" w:firstLineChars="200"/>
        <w:rPr>
          <w:rFonts w:ascii="Times New Roman" w:hAnsi="Times New Roman" w:cs="Times New Roman"/>
        </w:rPr>
      </w:pPr>
      <w:r>
        <w:rPr>
          <w:rFonts w:hint="eastAsia" w:ascii="Times New Roman" w:hAnsi="Times New Roman" w:eastAsia="仿宋_GB2312" w:cs="Times New Roman"/>
          <w:sz w:val="32"/>
          <w:szCs w:val="32"/>
        </w:rPr>
        <w:t>截至4月30日，20年省级以上财政资金共支出43975.88万，支出率71.4%。</w:t>
      </w:r>
    </w:p>
    <w:p>
      <w:pPr>
        <w:ind w:firstLine="600" w:firstLineChars="200"/>
      </w:pPr>
      <w:r>
        <w:rPr>
          <w:rFonts w:hint="eastAsia"/>
        </w:rPr>
        <w:t>（2）支出规范性</w:t>
      </w:r>
    </w:p>
    <w:p>
      <w:pPr>
        <w:adjustRightInd w:val="0"/>
        <w:spacing w:line="580" w:lineRule="exact"/>
        <w:ind w:firstLine="640" w:firstLineChars="200"/>
        <w:contextualSpacing/>
      </w:pPr>
      <w:r>
        <w:rPr>
          <w:rFonts w:hint="eastAsia"/>
          <w:sz w:val="32"/>
          <w:szCs w:val="32"/>
        </w:rPr>
        <w:t>严格按照《特大型地质灾害防治专项资金管理办法》（财资环〔2019〕44号）、《广东省防灾减灾应急（省级地质灾害防治）专项资金管理办法》（粤财资环〔2020〕37号）、《省级地质灾害防治专项资金管理实施细则（试行）》（粤自然资函〔2020〕10号）要求，加强资金监管，明确地质灾害防治资金的使用范围、筹集与分配、使用与管理、绩效管理、监督检查相关要求。</w:t>
      </w:r>
    </w:p>
    <w:p>
      <w:pPr>
        <w:ind w:firstLine="643" w:firstLineChars="200"/>
        <w:rPr>
          <w:b/>
          <w:bCs/>
          <w:sz w:val="32"/>
          <w:szCs w:val="32"/>
        </w:rPr>
      </w:pPr>
      <w:r>
        <w:rPr>
          <w:rFonts w:hint="eastAsia"/>
          <w:b/>
          <w:bCs/>
          <w:sz w:val="32"/>
          <w:szCs w:val="32"/>
        </w:rPr>
        <w:t>2.事项管理</w:t>
      </w:r>
    </w:p>
    <w:p>
      <w:pPr>
        <w:ind w:firstLine="640" w:firstLineChars="200"/>
        <w:rPr>
          <w:sz w:val="32"/>
          <w:szCs w:val="32"/>
        </w:rPr>
      </w:pPr>
      <w:r>
        <w:rPr>
          <w:rFonts w:hint="eastAsia"/>
          <w:sz w:val="32"/>
          <w:szCs w:val="32"/>
        </w:rPr>
        <w:t>（1）实施程序。省级地质灾害防治专项资金按照有关程序下达各有关地市和有关单位，严格按照国家招投标有关规定开展招标工作，认真开展项目可行性研究和编制勘查设计方案，并严格按照勘查设计方案开展施工建设。</w:t>
      </w:r>
      <w:r>
        <w:rPr>
          <w:rFonts w:hint="eastAsia"/>
          <w:color w:val="000000"/>
          <w:kern w:val="0"/>
          <w:sz w:val="32"/>
          <w:szCs w:val="32"/>
        </w:rPr>
        <w:t>项目或方案调整按规定履行报批手续，主体工程完工后严格按照《广东省自然资源厅地质灾害治理工程项目管理办法（试行）》等有关规章制度实施项目验收工作。。</w:t>
      </w:r>
    </w:p>
    <w:p>
      <w:pPr>
        <w:spacing w:line="580" w:lineRule="exact"/>
        <w:ind w:firstLine="640"/>
        <w:contextualSpacing/>
        <w:jc w:val="left"/>
        <w:rPr>
          <w:b/>
          <w:kern w:val="0"/>
          <w:sz w:val="32"/>
          <w:szCs w:val="32"/>
        </w:rPr>
      </w:pPr>
      <w:r>
        <w:rPr>
          <w:rFonts w:hint="eastAsia"/>
          <w:sz w:val="32"/>
          <w:szCs w:val="32"/>
        </w:rPr>
        <w:t>（2）管理情况</w:t>
      </w:r>
    </w:p>
    <w:p>
      <w:pPr>
        <w:spacing w:line="580" w:lineRule="exact"/>
        <w:ind w:firstLine="640"/>
        <w:contextualSpacing/>
        <w:jc w:val="left"/>
        <w:rPr>
          <w:sz w:val="32"/>
          <w:szCs w:val="30"/>
        </w:rPr>
      </w:pPr>
      <w:r>
        <w:rPr>
          <w:rFonts w:hint="eastAsia"/>
          <w:b/>
          <w:kern w:val="0"/>
          <w:sz w:val="32"/>
          <w:szCs w:val="32"/>
        </w:rPr>
        <w:t>项目优选，提高资金使用效率。</w:t>
      </w:r>
      <w:r>
        <w:rPr>
          <w:rFonts w:hint="eastAsia"/>
          <w:sz w:val="32"/>
          <w:szCs w:val="32"/>
        </w:rPr>
        <w:t>按照自然资源部有关要求和省地质灾害防治三年行动方案任务部署，参考绩效考核评价指标，从省级项目库中从优遴选项目并安排资金。建立了包含项目入库、项目实施、资金使用、各方责任和治理成效等方面的一整套管理体系，保障地质灾害项目</w:t>
      </w:r>
      <w:r>
        <w:rPr>
          <w:rFonts w:hint="eastAsia"/>
          <w:sz w:val="32"/>
          <w:szCs w:val="30"/>
        </w:rPr>
        <w:t>有序、有效实施。</w:t>
      </w:r>
    </w:p>
    <w:p>
      <w:pPr>
        <w:spacing w:line="580" w:lineRule="exact"/>
        <w:ind w:firstLine="640"/>
        <w:contextualSpacing/>
        <w:jc w:val="left"/>
      </w:pPr>
      <w:r>
        <w:rPr>
          <w:rFonts w:hint="eastAsia"/>
          <w:b/>
          <w:kern w:val="0"/>
          <w:sz w:val="32"/>
          <w:szCs w:val="32"/>
        </w:rPr>
        <w:t>综合督查，确保项目有序推进。</w:t>
      </w:r>
      <w:r>
        <w:rPr>
          <w:rFonts w:hint="eastAsia"/>
          <w:b/>
          <w:sz w:val="32"/>
          <w:szCs w:val="30"/>
        </w:rPr>
        <w:t>一是</w:t>
      </w:r>
      <w:r>
        <w:rPr>
          <w:rFonts w:hint="eastAsia"/>
          <w:sz w:val="32"/>
          <w:szCs w:val="30"/>
        </w:rPr>
        <w:t>厅领导带队深入分片地区督促加快推进地质灾害隐患点综合治理任务；</w:t>
      </w:r>
      <w:r>
        <w:rPr>
          <w:rFonts w:hint="eastAsia"/>
          <w:b/>
          <w:sz w:val="32"/>
          <w:szCs w:val="30"/>
        </w:rPr>
        <w:t>二是</w:t>
      </w:r>
      <w:r>
        <w:rPr>
          <w:rFonts w:hint="eastAsia"/>
          <w:sz w:val="32"/>
          <w:szCs w:val="30"/>
        </w:rPr>
        <w:t>开展地质灾害工程治理在建项目质量督导。我厅两次联合有关地勘单位赴各地开展在建项目质量督导，督促各地加强项目质量管理、安全管理。</w:t>
      </w:r>
      <w:r>
        <w:rPr>
          <w:rFonts w:hint="eastAsia"/>
          <w:b/>
          <w:sz w:val="32"/>
          <w:szCs w:val="30"/>
        </w:rPr>
        <w:t>三是</w:t>
      </w:r>
      <w:r>
        <w:rPr>
          <w:rFonts w:hint="eastAsia"/>
          <w:sz w:val="32"/>
          <w:szCs w:val="30"/>
        </w:rPr>
        <w:t>建立“1+5”工作台账，实施“挂图作战”，每月至少开展一次项目实施和资金支出进度统计，根据进展情况及时向各地级市政府发出通报，督促各地采取有力措施、按时保质完成综合治理任务。</w:t>
      </w:r>
    </w:p>
    <w:p>
      <w:pPr>
        <w:ind w:firstLine="640" w:firstLineChars="200"/>
        <w:rPr>
          <w:rFonts w:eastAsia="楷体_GB2312"/>
          <w:sz w:val="32"/>
          <w:szCs w:val="32"/>
        </w:rPr>
      </w:pPr>
      <w:bookmarkStart w:id="35" w:name="_Toc11833"/>
      <w:bookmarkStart w:id="36" w:name="_Toc29977_WPSOffice_Level3"/>
      <w:bookmarkStart w:id="37" w:name="_Toc2846"/>
      <w:bookmarkStart w:id="38" w:name="_Toc16716_WPSOffice_Level2"/>
      <w:bookmarkStart w:id="39" w:name="_Toc23978"/>
      <w:r>
        <w:rPr>
          <w:rFonts w:hint="eastAsia" w:eastAsia="楷体_GB2312"/>
          <w:sz w:val="32"/>
          <w:szCs w:val="32"/>
        </w:rPr>
        <w:t>（三）产出分析</w:t>
      </w:r>
      <w:bookmarkEnd w:id="35"/>
      <w:bookmarkEnd w:id="36"/>
      <w:bookmarkEnd w:id="37"/>
      <w:bookmarkEnd w:id="38"/>
      <w:bookmarkEnd w:id="39"/>
    </w:p>
    <w:p>
      <w:pPr>
        <w:ind w:firstLine="640" w:firstLineChars="200"/>
        <w:rPr>
          <w:sz w:val="32"/>
          <w:szCs w:val="32"/>
        </w:rPr>
      </w:pPr>
      <w:r>
        <w:rPr>
          <w:rFonts w:hint="eastAsia"/>
          <w:sz w:val="32"/>
          <w:szCs w:val="32"/>
        </w:rPr>
        <w:t>1.经济性</w:t>
      </w:r>
    </w:p>
    <w:p>
      <w:pPr>
        <w:ind w:firstLine="640" w:firstLineChars="200"/>
        <w:rPr>
          <w:sz w:val="32"/>
          <w:szCs w:val="32"/>
        </w:rPr>
      </w:pPr>
      <w:r>
        <w:rPr>
          <w:rFonts w:hint="eastAsia"/>
          <w:sz w:val="32"/>
          <w:szCs w:val="32"/>
        </w:rPr>
        <w:t>2019、2020年度共下达中央财政地质灾害防治专项资金26670万元，2020年省级以上地质灾害防治专项资金34919.85万元，未超出预算。</w:t>
      </w:r>
    </w:p>
    <w:p>
      <w:pPr>
        <w:ind w:firstLine="640" w:firstLineChars="200"/>
        <w:rPr>
          <w:sz w:val="32"/>
          <w:szCs w:val="32"/>
        </w:rPr>
      </w:pPr>
      <w:r>
        <w:rPr>
          <w:rFonts w:hint="eastAsia"/>
          <w:sz w:val="32"/>
          <w:szCs w:val="32"/>
        </w:rPr>
        <w:t>2.效率性</w:t>
      </w:r>
    </w:p>
    <w:p>
      <w:pPr>
        <w:ind w:firstLine="640" w:firstLineChars="200"/>
        <w:rPr>
          <w:sz w:val="32"/>
          <w:szCs w:val="32"/>
        </w:rPr>
      </w:pPr>
      <w:r>
        <w:rPr>
          <w:sz w:val="32"/>
          <w:szCs w:val="32"/>
        </w:rPr>
        <w:t>20</w:t>
      </w:r>
      <w:r>
        <w:rPr>
          <w:rFonts w:hint="eastAsia"/>
          <w:sz w:val="32"/>
          <w:szCs w:val="32"/>
        </w:rPr>
        <w:t>19、2020年中央财政和2020年省级地质灾害防治专项资金</w:t>
      </w:r>
      <w:r>
        <w:rPr>
          <w:sz w:val="32"/>
          <w:szCs w:val="32"/>
        </w:rPr>
        <w:t>涉及的数量指标、</w:t>
      </w:r>
      <w:r>
        <w:rPr>
          <w:rFonts w:hint="eastAsia"/>
          <w:sz w:val="32"/>
          <w:szCs w:val="32"/>
        </w:rPr>
        <w:t>质量指标、时效</w:t>
      </w:r>
      <w:r>
        <w:rPr>
          <w:sz w:val="32"/>
          <w:szCs w:val="32"/>
        </w:rPr>
        <w:t>指标、经济效益、社会效益</w:t>
      </w:r>
      <w:r>
        <w:rPr>
          <w:rFonts w:hint="eastAsia"/>
          <w:sz w:val="32"/>
          <w:szCs w:val="32"/>
        </w:rPr>
        <w:t>、环境效益</w:t>
      </w:r>
      <w:r>
        <w:rPr>
          <w:sz w:val="32"/>
          <w:szCs w:val="32"/>
        </w:rPr>
        <w:t>等</w:t>
      </w:r>
      <w:r>
        <w:rPr>
          <w:rFonts w:hint="eastAsia"/>
          <w:sz w:val="32"/>
          <w:szCs w:val="32"/>
        </w:rPr>
        <w:t>阶段性</w:t>
      </w:r>
      <w:r>
        <w:rPr>
          <w:sz w:val="32"/>
          <w:szCs w:val="32"/>
        </w:rPr>
        <w:t>绩效目标</w:t>
      </w:r>
      <w:r>
        <w:rPr>
          <w:rFonts w:hint="eastAsia"/>
          <w:sz w:val="32"/>
          <w:szCs w:val="32"/>
        </w:rPr>
        <w:t>已</w:t>
      </w:r>
      <w:r>
        <w:rPr>
          <w:sz w:val="32"/>
          <w:szCs w:val="32"/>
        </w:rPr>
        <w:t>全部完成。</w:t>
      </w:r>
    </w:p>
    <w:p>
      <w:pPr>
        <w:ind w:firstLine="640" w:firstLineChars="200"/>
        <w:rPr>
          <w:rFonts w:eastAsia="楷体_GB2312"/>
          <w:sz w:val="32"/>
          <w:szCs w:val="32"/>
        </w:rPr>
      </w:pPr>
      <w:bookmarkStart w:id="40" w:name="_Toc14856_WPSOffice_Level2"/>
      <w:bookmarkStart w:id="41" w:name="_Toc11574_WPSOffice_Level3"/>
      <w:bookmarkStart w:id="42" w:name="_Toc3290"/>
      <w:bookmarkStart w:id="43" w:name="_Toc20216"/>
      <w:bookmarkStart w:id="44" w:name="_Toc10293"/>
      <w:r>
        <w:rPr>
          <w:rFonts w:hint="eastAsia" w:eastAsia="楷体_GB2312"/>
          <w:sz w:val="32"/>
          <w:szCs w:val="32"/>
        </w:rPr>
        <w:t>（四）效益实现度分析</w:t>
      </w:r>
      <w:bookmarkEnd w:id="40"/>
      <w:bookmarkEnd w:id="41"/>
      <w:bookmarkEnd w:id="42"/>
      <w:bookmarkEnd w:id="43"/>
      <w:bookmarkEnd w:id="44"/>
    </w:p>
    <w:p>
      <w:pPr>
        <w:ind w:firstLine="600" w:firstLineChars="200"/>
      </w:pPr>
      <w:r>
        <w:rPr>
          <w:rFonts w:hint="eastAsia"/>
        </w:rPr>
        <w:t>1.效果性</w:t>
      </w:r>
    </w:p>
    <w:p>
      <w:pPr>
        <w:ind w:firstLine="640" w:firstLineChars="200"/>
        <w:rPr>
          <w:sz w:val="32"/>
          <w:szCs w:val="32"/>
        </w:rPr>
      </w:pPr>
      <w:r>
        <w:rPr>
          <w:rFonts w:hint="eastAsia"/>
          <w:sz w:val="32"/>
          <w:szCs w:val="32"/>
        </w:rPr>
        <w:t>通过加强汛期地质防御措施，推动地质灾害综合防治体系建设，地质灾害防治实现“两个提升、三个减少”。</w:t>
      </w:r>
    </w:p>
    <w:p>
      <w:pPr>
        <w:ind w:firstLine="643" w:firstLineChars="200"/>
        <w:rPr>
          <w:sz w:val="32"/>
          <w:szCs w:val="32"/>
        </w:rPr>
      </w:pPr>
      <w:r>
        <w:rPr>
          <w:rFonts w:hint="eastAsia"/>
          <w:b/>
          <w:bCs/>
          <w:sz w:val="32"/>
          <w:szCs w:val="32"/>
        </w:rPr>
        <w:t>“一个提升”是人防能力提升，做到了五个全落实。一是</w:t>
      </w:r>
      <w:r>
        <w:rPr>
          <w:rFonts w:hint="eastAsia"/>
          <w:sz w:val="32"/>
          <w:szCs w:val="32"/>
        </w:rPr>
        <w:t>领导挂点责任制全落实。目前，全省所有隐患点均已落实市、县、镇政府领导干部挂点，其中大型以上隐患点已落实337名市、县政府领导挂点，推动力度大。</w:t>
      </w:r>
      <w:r>
        <w:rPr>
          <w:rFonts w:hint="eastAsia"/>
          <w:b/>
          <w:bCs/>
          <w:sz w:val="32"/>
          <w:szCs w:val="32"/>
        </w:rPr>
        <w:t>二是</w:t>
      </w:r>
      <w:r>
        <w:rPr>
          <w:rFonts w:hint="eastAsia"/>
          <w:sz w:val="32"/>
          <w:szCs w:val="32"/>
        </w:rPr>
        <w:t>群测群防队伍建设全落实。全省已基本建成由乡（镇）长担任责任人、由村干部担任管理员、由群测群防员担任专管员的“三员共管”1331管理责任体系，现有群测群防人员1.4万人。</w:t>
      </w:r>
      <w:r>
        <w:rPr>
          <w:rFonts w:hint="eastAsia"/>
          <w:b/>
          <w:bCs/>
          <w:sz w:val="32"/>
          <w:szCs w:val="32"/>
        </w:rPr>
        <w:t>三是</w:t>
      </w:r>
      <w:r>
        <w:rPr>
          <w:rFonts w:hint="eastAsia"/>
          <w:sz w:val="32"/>
          <w:szCs w:val="32"/>
        </w:rPr>
        <w:t>网格化管理措施全落实。建立了以行政村为块状网，以交通设施为条状网，以水库、学校、景点等为点状网的网格化管理责任制，落实网格责任人、管理员和专管员，负责网格内具体地质灾害防治工作。</w:t>
      </w:r>
      <w:r>
        <w:rPr>
          <w:rFonts w:hint="eastAsia"/>
          <w:b/>
          <w:bCs/>
          <w:sz w:val="32"/>
          <w:szCs w:val="32"/>
        </w:rPr>
        <w:t>四是</w:t>
      </w:r>
      <w:r>
        <w:rPr>
          <w:rFonts w:hint="eastAsia"/>
          <w:sz w:val="32"/>
          <w:szCs w:val="32"/>
        </w:rPr>
        <w:t>快速响应机制措施全落实。全省各地均已建立地质灾害防御快速预警响应工作机制，全面落实一隐患点一预案制度，提高了预警响应效率。五是部门联动机制建立全落实。建立省、市联席会议制度或领导小组，协调推进自然资源、教育、财政、住建、交通厅、水利、农业农村、文旅、应急管理等有关单位开展地质灾害防治工作，初步形成了齐抓共管、群防群治的地质灾害防治新格局。</w:t>
      </w:r>
    </w:p>
    <w:p>
      <w:pPr>
        <w:ind w:firstLine="643" w:firstLineChars="200"/>
        <w:rPr>
          <w:sz w:val="32"/>
          <w:szCs w:val="32"/>
        </w:rPr>
      </w:pPr>
      <w:r>
        <w:rPr>
          <w:rFonts w:hint="eastAsia"/>
          <w:b/>
          <w:bCs/>
          <w:sz w:val="32"/>
          <w:szCs w:val="32"/>
        </w:rPr>
        <w:t>另“一个提升”是技防现代化水平提升，实现了五个全覆盖。一是</w:t>
      </w:r>
      <w:r>
        <w:rPr>
          <w:rFonts w:hint="eastAsia"/>
          <w:sz w:val="32"/>
          <w:szCs w:val="32"/>
        </w:rPr>
        <w:t>技术支撑队伍建设和应急队伍储备库建设全覆盖。全省21个地级以上市和138个县（市、区）通过购买服务等形式与53家地勘单位共286名技术人员建立了技术支撑服务关系，基本实现了市、县技术保障全覆盖。</w:t>
      </w:r>
      <w:r>
        <w:rPr>
          <w:rFonts w:hint="eastAsia"/>
          <w:b/>
          <w:bCs/>
          <w:sz w:val="32"/>
          <w:szCs w:val="32"/>
        </w:rPr>
        <w:t>二是</w:t>
      </w:r>
      <w:r>
        <w:rPr>
          <w:rFonts w:hint="eastAsia"/>
          <w:sz w:val="32"/>
          <w:szCs w:val="32"/>
        </w:rPr>
        <w:t>技术应用手段全覆盖。将无人机、遥感、雷达、普适型监测设备等技术手段应用与地质灾害调查、监测，实现新技术新手段应用全覆盖。</w:t>
      </w:r>
      <w:r>
        <w:rPr>
          <w:rFonts w:hint="eastAsia"/>
          <w:b/>
          <w:bCs/>
          <w:sz w:val="32"/>
          <w:szCs w:val="32"/>
        </w:rPr>
        <w:t>三是</w:t>
      </w:r>
      <w:r>
        <w:rPr>
          <w:rFonts w:hint="eastAsia"/>
          <w:sz w:val="32"/>
          <w:szCs w:val="32"/>
        </w:rPr>
        <w:t>技术装备配备全覆盖。为21个地级以上市、122个县（市、区）配置了无人机、激光测距仪、土壤含水率测定仪等14项地质灾害防治技术装备；为5865名地质灾害群测群防专管员配置了夜视望远镜、激光测距仪、裂缝测量标志等8项简易监测工具。</w:t>
      </w:r>
      <w:r>
        <w:rPr>
          <w:rFonts w:hint="eastAsia"/>
          <w:b/>
          <w:bCs/>
          <w:sz w:val="32"/>
          <w:szCs w:val="32"/>
        </w:rPr>
        <w:t>四是</w:t>
      </w:r>
      <w:r>
        <w:rPr>
          <w:rFonts w:hint="eastAsia"/>
          <w:sz w:val="32"/>
          <w:szCs w:val="32"/>
        </w:rPr>
        <w:t>大数据管理平台省市县三级联动全覆盖。目前我省建设“四级联动”（省、市、县、镇）、“四位一体”（监测、预警、预报、采集）、“三员共享”（管理人员、巡查人员、群测群防人员）的地质灾害大数据管理平台，包含1个数据库和7个子系统。预计年底前可完成1个数据库和5个子系统，基本实现大数据管理平台省市县三级联动全覆盖。</w:t>
      </w:r>
      <w:r>
        <w:rPr>
          <w:rFonts w:hint="eastAsia"/>
          <w:b/>
          <w:bCs/>
          <w:sz w:val="32"/>
          <w:szCs w:val="32"/>
        </w:rPr>
        <w:t>五是</w:t>
      </w:r>
      <w:r>
        <w:rPr>
          <w:rFonts w:hint="eastAsia"/>
          <w:sz w:val="32"/>
          <w:szCs w:val="32"/>
        </w:rPr>
        <w:t>采取避险搬迁、工程治理、专业监测、调查评价等综合治理措施全覆盖。完成1000户受威胁群众避险搬迁，100处大型以上地质灾害工程治理，440处大型以上地质灾害专业监测，81个县（市、区）1∶5万地质灾害详细调查。</w:t>
      </w:r>
    </w:p>
    <w:p>
      <w:pPr>
        <w:ind w:left="150" w:leftChars="50" w:firstLine="482" w:firstLineChars="150"/>
        <w:rPr>
          <w:sz w:val="32"/>
          <w:szCs w:val="32"/>
        </w:rPr>
      </w:pPr>
      <w:r>
        <w:rPr>
          <w:rFonts w:hint="eastAsia"/>
          <w:b/>
          <w:bCs/>
          <w:sz w:val="32"/>
          <w:szCs w:val="32"/>
        </w:rPr>
        <w:t>“三个减少”。一是</w:t>
      </w:r>
      <w:r>
        <w:rPr>
          <w:rFonts w:hint="eastAsia"/>
          <w:sz w:val="32"/>
          <w:szCs w:val="32"/>
        </w:rPr>
        <w:t>减少受地质灾害威胁群众，2020年以来，通过采取避险搬迁和工程治理措施，共减少受威胁群众8万多人，占三年行动任务的30%。</w:t>
      </w:r>
      <w:r>
        <w:rPr>
          <w:rFonts w:hint="eastAsia"/>
          <w:b/>
          <w:bCs/>
          <w:sz w:val="32"/>
          <w:szCs w:val="32"/>
        </w:rPr>
        <w:t>二是</w:t>
      </w:r>
      <w:r>
        <w:rPr>
          <w:rFonts w:hint="eastAsia"/>
          <w:sz w:val="32"/>
          <w:szCs w:val="32"/>
        </w:rPr>
        <w:t>减少人员伤亡。通过大力开展地质灾害气象预警和群测群防工作，成功预报地质灾害4起，避免人员伤亡95人，与2019年同期相比，地质灾害造成的人员伤亡减少了59%。</w:t>
      </w:r>
      <w:r>
        <w:rPr>
          <w:rFonts w:hint="eastAsia"/>
          <w:b/>
          <w:bCs/>
          <w:sz w:val="32"/>
          <w:szCs w:val="32"/>
        </w:rPr>
        <w:t>三是</w:t>
      </w:r>
      <w:r>
        <w:rPr>
          <w:rFonts w:hint="eastAsia"/>
          <w:sz w:val="32"/>
          <w:szCs w:val="32"/>
        </w:rPr>
        <w:t>减少直接经济损失。2020年地质灾害造成直接经济损失比上一年同期下降了74%。</w:t>
      </w:r>
    </w:p>
    <w:p>
      <w:pPr>
        <w:numPr>
          <w:ilvl w:val="0"/>
          <w:numId w:val="3"/>
        </w:numPr>
        <w:ind w:firstLine="600" w:firstLineChars="200"/>
      </w:pPr>
      <w:r>
        <w:rPr>
          <w:rFonts w:hint="eastAsia"/>
        </w:rPr>
        <w:t>公平性</w:t>
      </w:r>
      <w:bookmarkEnd w:id="25"/>
      <w:bookmarkStart w:id="45" w:name="OLE_LINK1"/>
    </w:p>
    <w:p>
      <w:pPr>
        <w:adjustRightInd w:val="0"/>
        <w:spacing w:line="580" w:lineRule="exact"/>
        <w:ind w:right="321" w:rightChars="107" w:firstLine="640" w:firstLineChars="200"/>
        <w:contextualSpacing/>
      </w:pPr>
      <w:r>
        <w:rPr>
          <w:sz w:val="32"/>
          <w:szCs w:val="32"/>
        </w:rPr>
        <w:t>地质灾害隐患点治理项目在推进过程中，得到了当地政府和人民群众的支持和协助，主动配合完成隐患点治理。群测群防和宣传培训的群众参与度</w:t>
      </w:r>
      <w:r>
        <w:rPr>
          <w:rFonts w:hint="eastAsia"/>
          <w:sz w:val="32"/>
          <w:szCs w:val="32"/>
        </w:rPr>
        <w:t>100</w:t>
      </w:r>
      <w:r>
        <w:rPr>
          <w:sz w:val="32"/>
          <w:szCs w:val="32"/>
        </w:rPr>
        <w:t>%，已完成的治理项目群众满意度超过9</w:t>
      </w:r>
      <w:r>
        <w:rPr>
          <w:rFonts w:hint="eastAsia"/>
          <w:sz w:val="32"/>
          <w:szCs w:val="32"/>
        </w:rPr>
        <w:t>5</w:t>
      </w:r>
      <w:r>
        <w:rPr>
          <w:sz w:val="32"/>
          <w:szCs w:val="32"/>
        </w:rPr>
        <w:t>%。</w:t>
      </w:r>
    </w:p>
    <w:bookmarkEnd w:id="45"/>
    <w:p>
      <w:pPr>
        <w:ind w:firstLine="640" w:firstLineChars="200"/>
        <w:rPr>
          <w:rFonts w:eastAsia="黑体"/>
          <w:sz w:val="32"/>
          <w:szCs w:val="32"/>
        </w:rPr>
      </w:pPr>
      <w:bookmarkStart w:id="46" w:name="_Toc5769"/>
      <w:bookmarkStart w:id="47" w:name="_Toc18153"/>
      <w:bookmarkStart w:id="48" w:name="_Toc13565"/>
      <w:bookmarkStart w:id="49" w:name="_Toc512491981"/>
      <w:r>
        <w:rPr>
          <w:rFonts w:hint="eastAsia" w:eastAsia="黑体"/>
          <w:sz w:val="32"/>
          <w:szCs w:val="32"/>
        </w:rPr>
        <w:t>五、主要绩效</w:t>
      </w:r>
      <w:bookmarkEnd w:id="46"/>
      <w:bookmarkEnd w:id="47"/>
      <w:bookmarkEnd w:id="48"/>
      <w:bookmarkStart w:id="50" w:name="_Toc15056"/>
    </w:p>
    <w:bookmarkEnd w:id="49"/>
    <w:bookmarkEnd w:id="50"/>
    <w:p>
      <w:pPr>
        <w:ind w:firstLine="640" w:firstLineChars="200"/>
        <w:rPr>
          <w:sz w:val="32"/>
          <w:szCs w:val="32"/>
        </w:rPr>
      </w:pPr>
      <w:bookmarkStart w:id="51" w:name="_Toc6266"/>
      <w:bookmarkStart w:id="52" w:name="_Toc32041"/>
      <w:bookmarkStart w:id="53" w:name="_Toc4184"/>
      <w:bookmarkStart w:id="54" w:name="_Toc512491983"/>
      <w:r>
        <w:rPr>
          <w:rFonts w:hint="eastAsia"/>
          <w:sz w:val="32"/>
          <w:szCs w:val="32"/>
        </w:rPr>
        <w:t>完成128处大型以上地质灾害隐患点工程治理（勘查设计）、440处专业监测；实施42处大型以上地质灾害隐患点工程治理（施工）、16处避险搬迁；建设地质灾害防治大数据管理平台；完成防治技术支撑体系装备建设，为21个地级以上市、122个县（市、区）配置了无人机、激光测距仪、土壤含水率测定仪等14项地质灾害防治技术装备。为5865名地质灾害群测群防专管员配置了夜视望远镜、激光测距仪、裂缝测量标志等8项简易监测工具；实施典型地质灾害成灾机理及其监测预警技术研究，提高地质灾害监测预警能力。</w:t>
      </w:r>
    </w:p>
    <w:p>
      <w:pPr>
        <w:ind w:firstLine="640" w:firstLineChars="200"/>
        <w:rPr>
          <w:rFonts w:eastAsia="黑体"/>
          <w:sz w:val="32"/>
          <w:szCs w:val="32"/>
        </w:rPr>
      </w:pPr>
      <w:r>
        <w:rPr>
          <w:rFonts w:hint="eastAsia" w:eastAsia="黑体"/>
          <w:sz w:val="32"/>
          <w:szCs w:val="32"/>
        </w:rPr>
        <w:t>六、存在问题</w:t>
      </w:r>
      <w:bookmarkEnd w:id="51"/>
      <w:bookmarkEnd w:id="52"/>
      <w:bookmarkEnd w:id="53"/>
    </w:p>
    <w:p>
      <w:pPr>
        <w:spacing w:line="580" w:lineRule="exact"/>
        <w:ind w:firstLine="640" w:firstLineChars="200"/>
        <w:contextualSpacing/>
        <w:rPr>
          <w:sz w:val="32"/>
          <w:szCs w:val="32"/>
        </w:rPr>
      </w:pPr>
      <w:r>
        <w:rPr>
          <w:rFonts w:hint="eastAsia"/>
          <w:sz w:val="32"/>
          <w:szCs w:val="32"/>
        </w:rPr>
        <w:t>少数项目进展较慢，如肇庆市广宁县</w:t>
      </w:r>
      <w:r>
        <w:rPr>
          <w:rFonts w:hint="eastAsia"/>
          <w:color w:val="000000"/>
          <w:kern w:val="0"/>
          <w:sz w:val="32"/>
          <w:szCs w:val="32"/>
          <w:lang w:bidi="ar"/>
        </w:rPr>
        <w:t>宾亨镇罗汶村朱君塘村、南街镇永青社区环城北路工程治理项目、清远市</w:t>
      </w:r>
      <w:r>
        <w:rPr>
          <w:color w:val="000000"/>
          <w:kern w:val="0"/>
          <w:sz w:val="32"/>
          <w:szCs w:val="32"/>
          <w:lang w:bidi="ar"/>
        </w:rPr>
        <w:t>连南瑶族自治县大坪镇大掌村表达组</w:t>
      </w:r>
      <w:r>
        <w:rPr>
          <w:rFonts w:hint="eastAsia"/>
          <w:color w:val="000000"/>
          <w:kern w:val="0"/>
          <w:sz w:val="32"/>
          <w:szCs w:val="32"/>
          <w:lang w:bidi="ar"/>
        </w:rPr>
        <w:t>，主要是由于规模大、用地协调难</w:t>
      </w:r>
      <w:r>
        <w:rPr>
          <w:rFonts w:hint="eastAsia"/>
          <w:sz w:val="32"/>
          <w:szCs w:val="32"/>
        </w:rPr>
        <w:t>及群众工作难做等原因，进场施工前期耗时较长，延后实施进度。</w:t>
      </w:r>
    </w:p>
    <w:p>
      <w:pPr>
        <w:spacing w:line="580" w:lineRule="exact"/>
        <w:ind w:firstLine="640" w:firstLineChars="200"/>
        <w:contextualSpacing/>
        <w:rPr>
          <w:rFonts w:eastAsia="黑体"/>
          <w:sz w:val="32"/>
          <w:szCs w:val="32"/>
        </w:rPr>
      </w:pPr>
      <w:r>
        <w:rPr>
          <w:rFonts w:hint="eastAsia"/>
          <w:kern w:val="0"/>
          <w:sz w:val="32"/>
          <w:szCs w:val="32"/>
        </w:rPr>
        <w:t>由于地质灾害工程治理和避险搬迁项目实施周期较长，部分项目尚未完成验收，经济效益和社会效益尚未充分发挥。预计项目完成后，可彻底消除地质灾害威胁，达到稳定和安全要求，保障群众的生命财产安全，产生较好的社会效益和生态效益。</w:t>
      </w:r>
    </w:p>
    <w:p>
      <w:pPr>
        <w:ind w:firstLine="640" w:firstLineChars="200"/>
        <w:rPr>
          <w:rFonts w:eastAsia="黑体"/>
          <w:sz w:val="32"/>
          <w:szCs w:val="32"/>
        </w:rPr>
      </w:pPr>
      <w:r>
        <w:rPr>
          <w:rFonts w:hint="eastAsia" w:eastAsia="黑体"/>
          <w:sz w:val="32"/>
          <w:szCs w:val="32"/>
        </w:rPr>
        <w:t>七、下一步工作计划</w:t>
      </w:r>
    </w:p>
    <w:bookmarkEnd w:id="54"/>
    <w:p>
      <w:pPr>
        <w:spacing w:line="580" w:lineRule="exact"/>
        <w:ind w:firstLine="640" w:firstLineChars="200"/>
        <w:contextualSpacing/>
        <w:rPr>
          <w:color w:val="000000"/>
          <w:sz w:val="32"/>
          <w:szCs w:val="32"/>
          <w:shd w:val="clear" w:color="auto" w:fill="FFFFFF"/>
        </w:rPr>
      </w:pPr>
      <w:r>
        <w:rPr>
          <w:rFonts w:hint="eastAsia"/>
          <w:sz w:val="32"/>
          <w:szCs w:val="32"/>
        </w:rPr>
        <w:t>下一步，我厅将根据自然资源部和财政部的要求，</w:t>
      </w:r>
      <w:r>
        <w:rPr>
          <w:rFonts w:hint="eastAsia"/>
          <w:b/>
          <w:bCs/>
          <w:sz w:val="32"/>
          <w:szCs w:val="32"/>
        </w:rPr>
        <w:t>一是</w:t>
      </w:r>
      <w:r>
        <w:rPr>
          <w:rFonts w:hint="eastAsia"/>
          <w:sz w:val="32"/>
          <w:szCs w:val="32"/>
        </w:rPr>
        <w:t>督促项目实施单位严格执行地质灾害防治专项资金的使用规定，加强项目资金管理，严格规范项目资金使用；</w:t>
      </w:r>
      <w:r>
        <w:rPr>
          <w:rFonts w:hint="eastAsia"/>
          <w:b/>
          <w:bCs/>
          <w:sz w:val="32"/>
          <w:szCs w:val="32"/>
        </w:rPr>
        <w:t>二是</w:t>
      </w:r>
      <w:r>
        <w:rPr>
          <w:rFonts w:hint="eastAsia"/>
          <w:color w:val="000000"/>
          <w:sz w:val="32"/>
          <w:szCs w:val="32"/>
        </w:rPr>
        <w:t>采取实地督导、通报批评、重点约谈等有力措施，督促实施单位切实加快工程实施</w:t>
      </w:r>
      <w:r>
        <w:rPr>
          <w:rFonts w:hint="eastAsia"/>
          <w:color w:val="000000"/>
          <w:sz w:val="32"/>
          <w:szCs w:val="32"/>
          <w:shd w:val="clear" w:color="auto" w:fill="FFFFFF"/>
        </w:rPr>
        <w:t>进度</w:t>
      </w:r>
      <w:r>
        <w:rPr>
          <w:rFonts w:hint="eastAsia"/>
          <w:spacing w:val="-2"/>
          <w:sz w:val="32"/>
          <w:szCs w:val="32"/>
        </w:rPr>
        <w:t>，在</w:t>
      </w:r>
      <w:r>
        <w:rPr>
          <w:rFonts w:hint="eastAsia"/>
          <w:color w:val="000000"/>
          <w:sz w:val="32"/>
          <w:szCs w:val="32"/>
          <w:shd w:val="clear" w:color="auto" w:fill="FFFFFF"/>
        </w:rPr>
        <w:t>勘查设计工作完成后按程序尽快组织招投标并确定项目施工、监理单位，抓紧进场施工，加快完成主体工程；</w:t>
      </w:r>
      <w:r>
        <w:rPr>
          <w:rFonts w:hint="eastAsia"/>
          <w:b/>
          <w:bCs/>
          <w:color w:val="000000"/>
          <w:sz w:val="32"/>
          <w:szCs w:val="32"/>
          <w:shd w:val="clear" w:color="auto" w:fill="FFFFFF"/>
        </w:rPr>
        <w:t>三是</w:t>
      </w:r>
      <w:r>
        <w:rPr>
          <w:rFonts w:hint="eastAsia"/>
          <w:color w:val="000000"/>
          <w:sz w:val="32"/>
          <w:szCs w:val="32"/>
          <w:shd w:val="clear" w:color="auto" w:fill="FFFFFF"/>
        </w:rPr>
        <w:t>切实加强项目监管，确保工程按时保质地完成，</w:t>
      </w:r>
      <w:r>
        <w:rPr>
          <w:rFonts w:hint="eastAsia"/>
          <w:sz w:val="32"/>
          <w:szCs w:val="32"/>
        </w:rPr>
        <w:t>提高财政资金使用效率，</w:t>
      </w:r>
      <w:r>
        <w:rPr>
          <w:rFonts w:hint="eastAsia"/>
          <w:color w:val="000000"/>
          <w:sz w:val="32"/>
          <w:szCs w:val="32"/>
          <w:shd w:val="clear" w:color="auto" w:fill="FFFFFF"/>
        </w:rPr>
        <w:t>尽快发挥经济效益和社会效</w:t>
      </w:r>
    </w:p>
    <w:p>
      <w:pPr>
        <w:pStyle w:val="3"/>
        <w:rPr>
          <w:rFonts w:ascii="Times New Roman" w:hAnsi="Times New Roman" w:eastAsia="黑体"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eastAsia="仿宋_GB2312"/>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rPr>
                        <w:rFonts w:eastAsia="仿宋_GB2312"/>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B950A"/>
    <w:multiLevelType w:val="singleLevel"/>
    <w:tmpl w:val="AD5B950A"/>
    <w:lvl w:ilvl="0" w:tentative="0">
      <w:start w:val="2"/>
      <w:numFmt w:val="decimal"/>
      <w:suff w:val="nothing"/>
      <w:lvlText w:val="（%1）"/>
      <w:lvlJc w:val="left"/>
    </w:lvl>
  </w:abstractNum>
  <w:abstractNum w:abstractNumId="1">
    <w:nsid w:val="00816DDC"/>
    <w:multiLevelType w:val="singleLevel"/>
    <w:tmpl w:val="00816DDC"/>
    <w:lvl w:ilvl="0" w:tentative="0">
      <w:start w:val="1"/>
      <w:numFmt w:val="chineseCounting"/>
      <w:suff w:val="nothing"/>
      <w:lvlText w:val="%1、"/>
      <w:lvlJc w:val="left"/>
      <w:rPr>
        <w:rFonts w:hint="eastAsia"/>
      </w:rPr>
    </w:lvl>
  </w:abstractNum>
  <w:abstractNum w:abstractNumId="2">
    <w:nsid w:val="151DCBDC"/>
    <w:multiLevelType w:val="singleLevel"/>
    <w:tmpl w:val="151DCBDC"/>
    <w:lvl w:ilvl="0" w:tentative="0">
      <w:start w:val="2"/>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8587F"/>
    <w:rsid w:val="00160B10"/>
    <w:rsid w:val="00172A27"/>
    <w:rsid w:val="0020690E"/>
    <w:rsid w:val="00440593"/>
    <w:rsid w:val="004D494F"/>
    <w:rsid w:val="004D6C36"/>
    <w:rsid w:val="004E6D74"/>
    <w:rsid w:val="0079767D"/>
    <w:rsid w:val="00847A95"/>
    <w:rsid w:val="009745BE"/>
    <w:rsid w:val="00B10D2E"/>
    <w:rsid w:val="00B353B3"/>
    <w:rsid w:val="00BB71B7"/>
    <w:rsid w:val="00D863DA"/>
    <w:rsid w:val="00DC7BFA"/>
    <w:rsid w:val="00EA37C6"/>
    <w:rsid w:val="00EF2B1D"/>
    <w:rsid w:val="00F73DBF"/>
    <w:rsid w:val="00FE29A6"/>
    <w:rsid w:val="01657688"/>
    <w:rsid w:val="01B57C39"/>
    <w:rsid w:val="02E72B31"/>
    <w:rsid w:val="055E5EF8"/>
    <w:rsid w:val="06832A03"/>
    <w:rsid w:val="07B45652"/>
    <w:rsid w:val="08D9213B"/>
    <w:rsid w:val="09201FE1"/>
    <w:rsid w:val="092F5338"/>
    <w:rsid w:val="096F139D"/>
    <w:rsid w:val="0A25496C"/>
    <w:rsid w:val="0AB647AA"/>
    <w:rsid w:val="0B7D1137"/>
    <w:rsid w:val="0C091516"/>
    <w:rsid w:val="0C403B34"/>
    <w:rsid w:val="0C6368D5"/>
    <w:rsid w:val="0C98035C"/>
    <w:rsid w:val="0D464D8C"/>
    <w:rsid w:val="0D813904"/>
    <w:rsid w:val="0E037A87"/>
    <w:rsid w:val="0E61742B"/>
    <w:rsid w:val="0E9C5345"/>
    <w:rsid w:val="126843E6"/>
    <w:rsid w:val="12E851D0"/>
    <w:rsid w:val="14294D4C"/>
    <w:rsid w:val="14C65533"/>
    <w:rsid w:val="14EA18CF"/>
    <w:rsid w:val="16EC5C35"/>
    <w:rsid w:val="16F82887"/>
    <w:rsid w:val="177C2AFF"/>
    <w:rsid w:val="1908114A"/>
    <w:rsid w:val="19CC1634"/>
    <w:rsid w:val="1B4C3E2B"/>
    <w:rsid w:val="1BEC5177"/>
    <w:rsid w:val="1D4C1F5C"/>
    <w:rsid w:val="1D831DFD"/>
    <w:rsid w:val="1DAB2F86"/>
    <w:rsid w:val="1DDA4E2F"/>
    <w:rsid w:val="1E7B1809"/>
    <w:rsid w:val="1FC909AD"/>
    <w:rsid w:val="2024741E"/>
    <w:rsid w:val="22C9096C"/>
    <w:rsid w:val="22D0725B"/>
    <w:rsid w:val="23132B41"/>
    <w:rsid w:val="232A1AA1"/>
    <w:rsid w:val="23423E63"/>
    <w:rsid w:val="245514B7"/>
    <w:rsid w:val="25350107"/>
    <w:rsid w:val="25F76EEC"/>
    <w:rsid w:val="25FB35E6"/>
    <w:rsid w:val="27BE4984"/>
    <w:rsid w:val="290425A6"/>
    <w:rsid w:val="29061EDE"/>
    <w:rsid w:val="2A5A09C1"/>
    <w:rsid w:val="2B07363D"/>
    <w:rsid w:val="2B293E0D"/>
    <w:rsid w:val="2B5232FA"/>
    <w:rsid w:val="2B5B7AF5"/>
    <w:rsid w:val="2BB1561E"/>
    <w:rsid w:val="2C486568"/>
    <w:rsid w:val="2CFE7BE8"/>
    <w:rsid w:val="2DB270FF"/>
    <w:rsid w:val="2DBD6DB6"/>
    <w:rsid w:val="2EA8427D"/>
    <w:rsid w:val="2F1151A8"/>
    <w:rsid w:val="2F792172"/>
    <w:rsid w:val="30D56477"/>
    <w:rsid w:val="32E27BAF"/>
    <w:rsid w:val="34596C09"/>
    <w:rsid w:val="34D35B53"/>
    <w:rsid w:val="35792A52"/>
    <w:rsid w:val="358D544C"/>
    <w:rsid w:val="35AA258C"/>
    <w:rsid w:val="363A58E6"/>
    <w:rsid w:val="36AE0A8D"/>
    <w:rsid w:val="376276A9"/>
    <w:rsid w:val="39582E76"/>
    <w:rsid w:val="3AA750A3"/>
    <w:rsid w:val="3C9E7EB7"/>
    <w:rsid w:val="3D2A416E"/>
    <w:rsid w:val="3D895197"/>
    <w:rsid w:val="3DC82ECC"/>
    <w:rsid w:val="3E6444C0"/>
    <w:rsid w:val="3EBB38FD"/>
    <w:rsid w:val="3F1D0C36"/>
    <w:rsid w:val="409E4FEB"/>
    <w:rsid w:val="414631A4"/>
    <w:rsid w:val="41AD14D1"/>
    <w:rsid w:val="42C16598"/>
    <w:rsid w:val="43226938"/>
    <w:rsid w:val="44B57B3D"/>
    <w:rsid w:val="4507101E"/>
    <w:rsid w:val="45BC721B"/>
    <w:rsid w:val="45CF5C72"/>
    <w:rsid w:val="45EA6642"/>
    <w:rsid w:val="464B5CBC"/>
    <w:rsid w:val="47076058"/>
    <w:rsid w:val="48D92602"/>
    <w:rsid w:val="4AF67BC9"/>
    <w:rsid w:val="4C6F45E4"/>
    <w:rsid w:val="4E057ECA"/>
    <w:rsid w:val="4E2F38B6"/>
    <w:rsid w:val="4F4C5862"/>
    <w:rsid w:val="4F907CFF"/>
    <w:rsid w:val="4FA36785"/>
    <w:rsid w:val="505D2A49"/>
    <w:rsid w:val="5124484C"/>
    <w:rsid w:val="5281491A"/>
    <w:rsid w:val="528629D9"/>
    <w:rsid w:val="52E211EE"/>
    <w:rsid w:val="52EA4C18"/>
    <w:rsid w:val="54BF1276"/>
    <w:rsid w:val="54C06624"/>
    <w:rsid w:val="5533678E"/>
    <w:rsid w:val="55BC1009"/>
    <w:rsid w:val="573C2554"/>
    <w:rsid w:val="57C93142"/>
    <w:rsid w:val="57DA4FB0"/>
    <w:rsid w:val="58A46A62"/>
    <w:rsid w:val="58E27DD1"/>
    <w:rsid w:val="592D7F2F"/>
    <w:rsid w:val="598369ED"/>
    <w:rsid w:val="5A4C0089"/>
    <w:rsid w:val="5B346B84"/>
    <w:rsid w:val="5C0A5795"/>
    <w:rsid w:val="5F2D2B65"/>
    <w:rsid w:val="5FE7227E"/>
    <w:rsid w:val="60BB557A"/>
    <w:rsid w:val="613440B2"/>
    <w:rsid w:val="614B646B"/>
    <w:rsid w:val="614D4186"/>
    <w:rsid w:val="615858E4"/>
    <w:rsid w:val="61A5473F"/>
    <w:rsid w:val="622E7624"/>
    <w:rsid w:val="629938F9"/>
    <w:rsid w:val="63304298"/>
    <w:rsid w:val="635413B3"/>
    <w:rsid w:val="65FB5DC9"/>
    <w:rsid w:val="66213ACD"/>
    <w:rsid w:val="664E760A"/>
    <w:rsid w:val="66A5732F"/>
    <w:rsid w:val="67796E29"/>
    <w:rsid w:val="67EE486E"/>
    <w:rsid w:val="68576A7E"/>
    <w:rsid w:val="693F4B24"/>
    <w:rsid w:val="694C1934"/>
    <w:rsid w:val="69566846"/>
    <w:rsid w:val="6A68466B"/>
    <w:rsid w:val="6A962F2B"/>
    <w:rsid w:val="6E424EAC"/>
    <w:rsid w:val="6EE13728"/>
    <w:rsid w:val="70FA5007"/>
    <w:rsid w:val="7108177A"/>
    <w:rsid w:val="715C408B"/>
    <w:rsid w:val="72D700E7"/>
    <w:rsid w:val="745816FF"/>
    <w:rsid w:val="76524020"/>
    <w:rsid w:val="776C5652"/>
    <w:rsid w:val="77AC1C1A"/>
    <w:rsid w:val="79DF607B"/>
    <w:rsid w:val="79F42DA2"/>
    <w:rsid w:val="7BAA100A"/>
    <w:rsid w:val="7BF01DF5"/>
    <w:rsid w:val="7C490D7F"/>
    <w:rsid w:val="7CA421AC"/>
    <w:rsid w:val="7D080EDE"/>
    <w:rsid w:val="7E114590"/>
    <w:rsid w:val="7E347992"/>
    <w:rsid w:val="7E8C633C"/>
    <w:rsid w:val="7EF66FCF"/>
    <w:rsid w:val="7F300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2">
    <w:name w:val="heading 3"/>
    <w:basedOn w:val="1"/>
    <w:next w:val="1"/>
    <w:unhideWhenUsed/>
    <w:qFormat/>
    <w:uiPriority w:val="9"/>
    <w:pPr>
      <w:spacing w:before="100" w:beforeAutospacing="1" w:after="100" w:afterAutospacing="1"/>
      <w:jc w:val="left"/>
      <w:outlineLvl w:val="2"/>
    </w:pPr>
    <w:rPr>
      <w:rFonts w:hint="eastAsia" w:ascii="宋体" w:hAnsi="宋体" w:eastAsia="宋体"/>
      <w:b/>
      <w:kern w:val="0"/>
      <w:sz w:val="27"/>
      <w:szCs w:val="27"/>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99"/>
    <w:rPr>
      <w:rFonts w:ascii="宋体" w:hAnsi="Courier New" w:eastAsia="宋体" w:cs="宋体"/>
      <w:sz w:val="21"/>
    </w:rPr>
  </w:style>
  <w:style w:type="paragraph" w:styleId="4">
    <w:name w:val="footer"/>
    <w:basedOn w:val="1"/>
    <w:qFormat/>
    <w:uiPriority w:val="0"/>
    <w:pPr>
      <w:tabs>
        <w:tab w:val="center" w:pos="4153"/>
        <w:tab w:val="right" w:pos="8306"/>
      </w:tabs>
      <w:snapToGrid w:val="0"/>
      <w:jc w:val="left"/>
    </w:pPr>
    <w:rPr>
      <w:rFonts w:eastAsia="宋体"/>
      <w:sz w:val="18"/>
      <w:szCs w:val="18"/>
    </w:rPr>
  </w:style>
  <w:style w:type="paragraph" w:styleId="5">
    <w:name w:val="Subtitle"/>
    <w:basedOn w:val="1"/>
    <w:next w:val="1"/>
    <w:qFormat/>
    <w:uiPriority w:val="0"/>
    <w:pPr>
      <w:spacing w:before="240" w:after="60" w:line="312" w:lineRule="auto"/>
      <w:jc w:val="center"/>
      <w:outlineLvl w:val="1"/>
    </w:pPr>
    <w:rPr>
      <w:rFonts w:eastAsia="宋体" w:asciiTheme="majorHAnsi" w:hAnsiTheme="majorHAnsi" w:cstheme="majorBidi"/>
      <w:b/>
      <w:bCs/>
      <w:kern w:val="28"/>
      <w:sz w:val="32"/>
      <w:szCs w:val="32"/>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10">
    <w:name w:val="正文（缩进）"/>
    <w:basedOn w:val="1"/>
    <w:qFormat/>
    <w:uiPriority w:val="0"/>
    <w:pPr>
      <w:spacing w:before="156" w:beforeLines="50" w:after="156" w:afterLines="50" w:line="360" w:lineRule="auto"/>
      <w:ind w:firstLine="480" w:firstLineChars="200"/>
    </w:pPr>
    <w:rPr>
      <w:kern w:val="0"/>
      <w:sz w:val="24"/>
      <w:szCs w:val="20"/>
    </w:rPr>
  </w:style>
  <w:style w:type="paragraph" w:customStyle="1" w:styleId="11">
    <w:name w:val="正文首行缩进 21"/>
    <w:basedOn w:val="12"/>
    <w:qFormat/>
    <w:uiPriority w:val="0"/>
    <w:pPr>
      <w:spacing w:line="360" w:lineRule="auto"/>
    </w:pPr>
    <w:rPr>
      <w:rFonts w:eastAsia="宋体"/>
      <w:sz w:val="24"/>
    </w:rPr>
  </w:style>
  <w:style w:type="paragraph" w:customStyle="1" w:styleId="12">
    <w:name w:val="正文文本缩进1"/>
    <w:basedOn w:val="1"/>
    <w:qFormat/>
    <w:uiPriority w:val="0"/>
    <w:pPr>
      <w:spacing w:line="150" w:lineRule="atLeast"/>
      <w:ind w:firstLine="420" w:firstLineChars="200"/>
      <w:textAlignment w:val="baseline"/>
    </w:pPr>
  </w:style>
  <w:style w:type="paragraph" w:customStyle="1" w:styleId="13">
    <w:name w:val="正文2"/>
    <w:basedOn w:val="1"/>
    <w:next w:val="1"/>
    <w:qFormat/>
    <w:uiPriority w:val="0"/>
    <w:rPr>
      <w:rFonts w:ascii="仿宋_GB2312"/>
      <w:sz w:val="32"/>
      <w:szCs w:val="20"/>
    </w:rPr>
  </w:style>
  <w:style w:type="character" w:customStyle="1" w:styleId="14">
    <w:name w:val="font51"/>
    <w:basedOn w:val="8"/>
    <w:qFormat/>
    <w:uiPriority w:val="0"/>
    <w:rPr>
      <w:rFonts w:ascii="仿宋_GB2312" w:eastAsia="仿宋_GB2312" w:cs="仿宋_GB2312"/>
      <w:b/>
      <w:color w:val="000000"/>
      <w:sz w:val="20"/>
      <w:szCs w:val="20"/>
      <w:u w:val="none"/>
    </w:rPr>
  </w:style>
  <w:style w:type="character" w:customStyle="1" w:styleId="15">
    <w:name w:val="font81"/>
    <w:basedOn w:val="8"/>
    <w:qFormat/>
    <w:uiPriority w:val="0"/>
    <w:rPr>
      <w:rFonts w:hint="default" w:ascii="Times New Roman" w:hAnsi="Times New Roman" w:cs="Times New Roman"/>
      <w:b/>
      <w:color w:val="000000"/>
      <w:sz w:val="20"/>
      <w:szCs w:val="20"/>
      <w:u w:val="none"/>
    </w:rPr>
  </w:style>
  <w:style w:type="character" w:customStyle="1" w:styleId="16">
    <w:name w:val="font01"/>
    <w:basedOn w:val="8"/>
    <w:qFormat/>
    <w:uiPriority w:val="0"/>
    <w:rPr>
      <w:rFonts w:hint="default" w:ascii="仿宋_GB2312" w:eastAsia="仿宋_GB2312" w:cs="仿宋_GB2312"/>
      <w:color w:val="000000"/>
      <w:sz w:val="20"/>
      <w:szCs w:val="20"/>
      <w:u w:val="none"/>
    </w:rPr>
  </w:style>
  <w:style w:type="character" w:customStyle="1" w:styleId="17">
    <w:name w:val="font91"/>
    <w:basedOn w:val="8"/>
    <w:qFormat/>
    <w:uiPriority w:val="0"/>
    <w:rPr>
      <w:rFonts w:hint="default" w:ascii="Times New Roman" w:hAnsi="Times New Roman" w:cs="Times New Roman"/>
      <w:color w:val="000000"/>
      <w:sz w:val="20"/>
      <w:szCs w:val="20"/>
      <w:u w:val="none"/>
    </w:rPr>
  </w:style>
  <w:style w:type="character" w:customStyle="1" w:styleId="18">
    <w:name w:val="font31"/>
    <w:basedOn w:val="8"/>
    <w:qFormat/>
    <w:uiPriority w:val="0"/>
    <w:rPr>
      <w:rFonts w:hint="default" w:ascii="仿宋_GB2312" w:eastAsia="仿宋_GB2312" w:cs="仿宋_GB2312"/>
      <w:color w:val="000000"/>
      <w:sz w:val="20"/>
      <w:szCs w:val="20"/>
      <w:u w:val="none"/>
    </w:rPr>
  </w:style>
  <w:style w:type="character" w:customStyle="1" w:styleId="19">
    <w:name w:val="font21"/>
    <w:basedOn w:val="8"/>
    <w:qFormat/>
    <w:uiPriority w:val="0"/>
    <w:rPr>
      <w:rFonts w:hint="default" w:ascii="Times New Roman" w:hAnsi="Times New Roman" w:cs="Times New Roman"/>
      <w:color w:val="000000"/>
      <w:sz w:val="20"/>
      <w:szCs w:val="20"/>
      <w:u w:val="none"/>
    </w:rPr>
  </w:style>
  <w:style w:type="paragraph" w:customStyle="1" w:styleId="20">
    <w:name w:val="Default"/>
    <w:qFormat/>
    <w:uiPriority w:val="0"/>
    <w:pPr>
      <w:widowControl w:val="0"/>
      <w:autoSpaceDE w:val="0"/>
      <w:autoSpaceDN w:val="0"/>
      <w:adjustRightInd w:val="0"/>
      <w:spacing w:line="360" w:lineRule="auto"/>
      <w:jc w:val="both"/>
    </w:pPr>
    <w:rPr>
      <w:rFonts w:ascii="黑体" w:hAnsi="Times New Roman"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省国土资源厅</Company>
  <Pages>1</Pages>
  <Words>1142</Words>
  <Characters>6510</Characters>
  <Lines>54</Lines>
  <Paragraphs>15</Paragraphs>
  <TotalTime>46</TotalTime>
  <ScaleCrop>false</ScaleCrop>
  <LinksUpToDate>false</LinksUpToDate>
  <CharactersWithSpaces>7637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2021-05-24T02:07:00Z</dcterms:created>
  <dc:creator>廖忠浈</dc:creator>
  <cp:lastModifiedBy>xifan</cp:lastModifiedBy>
  <dcterms:modified xsi:type="dcterms:W3CDTF">2026-04-07T03:44:44Z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97B110C0D3764F6F9AE8C480DE1192C1</vt:lpwstr>
  </property>
</Properties>
</file>