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80" w:lineRule="exact"/>
        <w:jc w:val="left"/>
        <w:rPr>
          <w:rFonts w:hint="default" w:ascii="Times New Roman" w:hAnsi="Times New Roman" w:cs="Times New Roman"/>
          <w:color w:val="000000" w:themeColor="text1"/>
          <w:sz w:val="32"/>
          <w:szCs w:val="32"/>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52"/>
          <w:szCs w:val="52"/>
          <w14:textFill>
            <w14:solidFill>
              <w14:schemeClr w14:val="tx1"/>
            </w14:solidFill>
          </w14:textFill>
        </w:rPr>
      </w:pPr>
      <w:r>
        <w:rPr>
          <w:rFonts w:hint="default" w:ascii="Times New Roman" w:hAnsi="Times New Roman" w:cs="Times New Roman"/>
          <w:color w:val="000000" w:themeColor="text1"/>
          <w:sz w:val="52"/>
          <w:szCs w:val="52"/>
          <w14:textFill>
            <w14:solidFill>
              <w14:schemeClr w14:val="tx1"/>
            </w14:solidFill>
          </w14:textFill>
        </w:rPr>
        <w:t>广东省测绘单位安全生产标准化</w:t>
      </w:r>
    </w:p>
    <w:p>
      <w:pPr>
        <w:pStyle w:val="11"/>
        <w:shd w:val="clear" w:color="auto" w:fill="auto"/>
        <w:tabs>
          <w:tab w:val="left" w:leader="dot" w:pos="3383"/>
        </w:tabs>
        <w:spacing w:before="0" w:line="360" w:lineRule="auto"/>
        <w:jc w:val="center"/>
        <w:rPr>
          <w:rFonts w:hint="default" w:ascii="Times New Roman" w:hAnsi="Times New Roman" w:eastAsia="黑体" w:cs="Times New Roman"/>
          <w:color w:val="000000" w:themeColor="text1"/>
          <w:sz w:val="52"/>
          <w:szCs w:val="52"/>
          <w:lang w:val="en-US" w:eastAsia="zh-CN"/>
          <w14:textFill>
            <w14:solidFill>
              <w14:schemeClr w14:val="tx1"/>
            </w14:solidFill>
          </w14:textFill>
        </w:rPr>
      </w:pPr>
      <w:r>
        <w:rPr>
          <w:rFonts w:hint="default" w:ascii="Times New Roman" w:hAnsi="Times New Roman" w:cs="Times New Roman"/>
          <w:color w:val="000000" w:themeColor="text1"/>
          <w:sz w:val="52"/>
          <w:szCs w:val="52"/>
          <w14:textFill>
            <w14:solidFill>
              <w14:schemeClr w14:val="tx1"/>
            </w14:solidFill>
          </w14:textFill>
        </w:rPr>
        <w:t>运行工作指南</w:t>
      </w:r>
      <w:r>
        <w:rPr>
          <w:rFonts w:hint="eastAsia" w:ascii="Times New Roman" w:hAnsi="Times New Roman" w:cs="Times New Roman"/>
          <w:color w:val="000000" w:themeColor="text1"/>
          <w:sz w:val="52"/>
          <w:szCs w:val="52"/>
          <w:lang w:eastAsia="zh-CN"/>
          <w14:textFill>
            <w14:solidFill>
              <w14:schemeClr w14:val="tx1"/>
            </w14:solidFill>
          </w14:textFill>
        </w:rPr>
        <w:t>（</w:t>
      </w:r>
      <w:r>
        <w:rPr>
          <w:rFonts w:hint="eastAsia" w:ascii="Times New Roman" w:hAnsi="Times New Roman" w:cs="Times New Roman"/>
          <w:color w:val="000000" w:themeColor="text1"/>
          <w:sz w:val="52"/>
          <w:szCs w:val="52"/>
          <w:lang w:val="en-US" w:eastAsia="zh-CN"/>
          <w14:textFill>
            <w14:solidFill>
              <w14:schemeClr w14:val="tx1"/>
            </w14:solidFill>
          </w14:textFill>
        </w:rPr>
        <w:t>试行）</w:t>
      </w: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44"/>
          <w:szCs w:val="44"/>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lang w:val="en-US" w:eastAsia="zh-CN"/>
          <w14:textFill>
            <w14:solidFill>
              <w14:schemeClr w14:val="tx1"/>
            </w14:solidFill>
          </w14:textFill>
        </w:rPr>
      </w:pPr>
      <w:r>
        <w:rPr>
          <w:rFonts w:hint="default" w:ascii="Times New Roman" w:hAnsi="Times New Roman" w:cs="Times New Roman"/>
          <w:color w:val="000000" w:themeColor="text1"/>
          <w:sz w:val="32"/>
          <w:szCs w:val="32"/>
          <w:lang w:val="en-US" w:eastAsia="zh-CN"/>
          <w14:textFill>
            <w14:solidFill>
              <w14:schemeClr w14:val="tx1"/>
            </w14:solidFill>
          </w14:textFill>
        </w:rPr>
        <w:t>广东省</w:t>
      </w:r>
      <w:r>
        <w:rPr>
          <w:rFonts w:hint="eastAsia" w:ascii="Times New Roman" w:hAnsi="Times New Roman" w:cs="Times New Roman"/>
          <w:color w:val="000000" w:themeColor="text1"/>
          <w:sz w:val="32"/>
          <w:szCs w:val="32"/>
          <w:lang w:val="en-US" w:eastAsia="zh-CN"/>
          <w14:textFill>
            <w14:solidFill>
              <w14:schemeClr w14:val="tx1"/>
            </w14:solidFill>
          </w14:textFill>
        </w:rPr>
        <w:t>测绘学会</w:t>
      </w: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lang w:val="en-US" w:eastAsia="zh-CN"/>
          <w14:textFill>
            <w14:solidFill>
              <w14:schemeClr w14:val="tx1"/>
            </w14:solidFill>
          </w14:textFill>
        </w:rPr>
        <w:sectPr>
          <w:pgSz w:w="11906" w:h="16838"/>
          <w:pgMar w:top="1440" w:right="1633" w:bottom="1440" w:left="1633" w:header="851" w:footer="992" w:gutter="0"/>
          <w:pgNumType w:start="1"/>
          <w:cols w:space="0" w:num="1"/>
          <w:docGrid w:type="lines" w:linePitch="312" w:charSpace="0"/>
        </w:sectPr>
      </w:pPr>
      <w:r>
        <w:rPr>
          <w:rFonts w:hint="default" w:ascii="Times New Roman" w:hAnsi="Times New Roman" w:cs="Times New Roman"/>
          <w:color w:val="000000" w:themeColor="text1"/>
          <w:sz w:val="32"/>
          <w:szCs w:val="32"/>
          <w:lang w:val="en-US" w:eastAsia="zh-CN"/>
          <w14:textFill>
            <w14:solidFill>
              <w14:schemeClr w14:val="tx1"/>
            </w14:solidFill>
          </w14:textFill>
        </w:rPr>
        <w:t>2026年</w:t>
      </w:r>
      <w:r>
        <w:rPr>
          <w:rFonts w:hint="eastAsia" w:ascii="Times New Roman" w:hAnsi="Times New Roman" w:cs="Times New Roman"/>
          <w:color w:val="000000" w:themeColor="text1"/>
          <w:sz w:val="32"/>
          <w:szCs w:val="32"/>
          <w:lang w:val="en-US" w:eastAsia="zh-CN"/>
          <w14:textFill>
            <w14:solidFill>
              <w14:schemeClr w14:val="tx1"/>
            </w14:solidFill>
          </w14:textFill>
        </w:rPr>
        <w:t>6</w:t>
      </w:r>
      <w:r>
        <w:rPr>
          <w:rFonts w:hint="default" w:ascii="Times New Roman" w:hAnsi="Times New Roman" w:cs="Times New Roman"/>
          <w:color w:val="000000" w:themeColor="text1"/>
          <w:sz w:val="32"/>
          <w:szCs w:val="32"/>
          <w:lang w:val="en-US" w:eastAsia="zh-CN"/>
          <w14:textFill>
            <w14:solidFill>
              <w14:schemeClr w14:val="tx1"/>
            </w14:solidFill>
          </w14:textFill>
        </w:rPr>
        <w:t>月</w:t>
      </w:r>
    </w:p>
    <w:p>
      <w:pPr>
        <w:keepNext w:val="0"/>
        <w:keepLines w:val="0"/>
        <w:pageBreakBefore w:val="0"/>
        <w:widowControl w:val="0"/>
        <w:kinsoku/>
        <w:wordWrap/>
        <w:overflowPunct/>
        <w:topLinePunct w:val="0"/>
        <w:autoSpaceDE/>
        <w:autoSpaceDN/>
        <w:bidi w:val="0"/>
        <w:adjustRightInd/>
        <w:snapToGrid/>
        <w:spacing w:line="360" w:lineRule="auto"/>
        <w:ind w:firstLine="420"/>
        <w:jc w:val="center"/>
        <w:textAlignment w:val="auto"/>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pPr>
      <w:r>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t>前 言</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《广东省测绘单位安全生产标准化运行工作指南</w:t>
      </w: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（试行）</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》（下称“《指南》”）是广东省内测绘单位开展安全生产标准化运行工作的指引性文件，也可</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作为全省测绘行业外部评审、行业安全监管部门监督</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查等相关工作的参考依据。</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在全面推进中国式现代化的进程中，测绘单位构建完善具有行业特色的安全生产管理体系，既是贯彻落实各级党委政府安全生产决策部署的具体行动，更是压实行业主体责任、</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提升</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自主管控</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能力</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夯实</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安全</w:t>
      </w:r>
      <w:r>
        <w:rPr>
          <w:rFonts w:hint="eastAsia" w:ascii="Times New Roman" w:hAnsi="Times New Roman" w:eastAsia="宋体" w:cs="Times New Roman"/>
          <w:color w:val="000000" w:themeColor="text1"/>
          <w:kern w:val="0"/>
          <w:sz w:val="21"/>
          <w:szCs w:val="21"/>
          <w:lang w:val="en-US" w:eastAsia="zh-CN" w:bidi="ar-SA"/>
          <w14:textFill>
            <w14:solidFill>
              <w14:schemeClr w14:val="tx1"/>
            </w14:solidFill>
          </w14:textFill>
        </w:rPr>
        <w:t>基础</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的现实需要。安全生产是关系人民群众生命财产安全的大事，是经济社会协调健康发展的重要标志，是不可逾越的红线、底线与生命线。近年来，在各级监管部门和行业主管部门的大力推动下，我省测绘单位安全生产工作取得积极成效，但仍需进一步制度化、标准化、精细化。</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为深入学习贯彻习近平总书记关于安全生产重要论述，落实党中央、国务院及省委、省政府决策部署，牢固树立安全发展理念，坚守发展决不能以牺牲安全为代价的红线，坚持“安全第一、预防为主、综合治理”的方针，</w:t>
      </w:r>
      <w:r>
        <w:rPr>
          <w:rFonts w:hint="default" w:ascii="Times New Roman" w:hAnsi="Times New Roman" w:eastAsia="宋体" w:cs="Times New Roman"/>
          <w:color w:val="auto"/>
          <w:kern w:val="0"/>
          <w:sz w:val="21"/>
          <w:szCs w:val="21"/>
          <w:lang w:val="en-US" w:eastAsia="zh-CN" w:bidi="ar-SA"/>
        </w:rPr>
        <w:t>在广东省自然资源厅指导下，广东省测绘学会组织编制本《指南》</w:t>
      </w:r>
      <w:r>
        <w:rPr>
          <w:rFonts w:hint="default" w:ascii="Times New Roman" w:hAnsi="Times New Roman" w:eastAsia="宋体" w:cs="Times New Roman"/>
          <w:color w:val="000000" w:themeColor="text1"/>
          <w:kern w:val="0"/>
          <w:sz w:val="21"/>
          <w:szCs w:val="21"/>
          <w:lang w:val="en-US" w:eastAsia="zh-CN" w:bidi="ar-SA"/>
          <w14:textFill>
            <w14:solidFill>
              <w14:schemeClr w14:val="tx1"/>
            </w14:solidFill>
          </w14:textFill>
        </w:rPr>
        <w:t>。旨在指导测绘单位健全安全生产组织机构，制定目标方案计划，完善管理制度与操作规程，落实全员安全生产责任制，开展教育培训，强化作业现场、仪器设备安全管理，深化风险管控与隐患排查治理，规范消防、用电、应急及事故管理等重点工作，全面提升单位本质安全水平，有效防范遏制各类安全事故，推动我省测绘行业安全生产标准化体系持续完善，保障测绘地理信息事业高质量发展。</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指导单位：广东省自然资源厅</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eastAsia" w:ascii="Times New Roman" w:hAnsi="Times New Roman" w:eastAsia="宋体" w:cs="Times New Roman"/>
          <w:color w:val="000000" w:themeColor="text1"/>
          <w:kern w:val="2"/>
          <w:sz w:val="21"/>
          <w:szCs w:val="21"/>
          <w:lang w:val="en-US" w:eastAsia="zh-CN" w:bidi="ar-SA"/>
          <w14:textFill>
            <w14:solidFill>
              <w14:schemeClr w14:val="tx1"/>
            </w14:solidFill>
          </w14:textFill>
        </w:rPr>
        <w:t>组织单位：</w:t>
      </w: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广东省测绘学会</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主编单位：广东省国土资源测绘院</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参编单位：广东省国土资源技术中心、广州市城市规划勘测设计研究院有限公司、深圳市规划国土发展研究中心、自然资源部南海调查中心、广东省测绘工程有限公司、广东绘宇智能科技有限公司、广东建通地理信息集团股份有限公司</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咨询单位：广东省安全生产协会</w:t>
      </w:r>
    </w:p>
    <w:p>
      <w:pPr>
        <w:keepNext w:val="0"/>
        <w:keepLines w:val="0"/>
        <w:pageBreakBefore w:val="0"/>
        <w:widowControl w:val="0"/>
        <w:kinsoku/>
        <w:wordWrap/>
        <w:overflowPunct/>
        <w:topLinePunct w:val="0"/>
        <w:autoSpaceDE/>
        <w:autoSpaceDN/>
        <w:bidi w:val="0"/>
        <w:adjustRightInd/>
        <w:snapToGrid/>
        <w:spacing w:line="360" w:lineRule="auto"/>
        <w:ind w:firstLine="420"/>
        <w:jc w:val="both"/>
        <w:textAlignment w:val="auto"/>
        <w:rPr>
          <w:rFonts w:hint="default" w:ascii="Times New Roman" w:hAnsi="Times New Roman" w:cs="Times New Roman"/>
          <w:color w:val="000000" w:themeColor="text1"/>
          <w:sz w:val="32"/>
          <w:szCs w:val="32"/>
          <w:lang w:val="en-US"/>
          <w14:textFill>
            <w14:solidFill>
              <w14:schemeClr w14:val="tx1"/>
            </w14:solidFill>
          </w14:textFill>
        </w:rPr>
        <w:sectPr>
          <w:footerReference r:id="rId3" w:type="default"/>
          <w:pgSz w:w="11906" w:h="16838"/>
          <w:pgMar w:top="1440" w:right="1633" w:bottom="1440" w:left="1633" w:header="851" w:footer="992" w:gutter="0"/>
          <w:pgNumType w:start="1"/>
          <w:cols w:space="0" w:num="1"/>
          <w:docGrid w:type="lines" w:linePitch="312" w:charSpace="0"/>
        </w:sect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主要编制人：刘金沧、郭  凯、范辉辉、王冬至、何宗友、欧阳博文、区永洪、黄小川、董斌斌、易雅琴、李杞容、胡勇修、吕  磊、苏  墨、周巨锁、江秀明、王大成、李  浪</w:t>
      </w: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目  录</w:t>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 w:val="44"/>
          <w:szCs w:val="44"/>
          <w14:textFill>
            <w14:solidFill>
              <w14:schemeClr w14:val="tx1"/>
            </w14:solidFill>
          </w14:textFill>
        </w:rPr>
        <w:fldChar w:fldCharType="begin"/>
      </w:r>
      <w:r>
        <w:rPr>
          <w:rFonts w:hint="default" w:ascii="Times New Roman" w:hAnsi="Times New Roman" w:cs="Times New Roman"/>
          <w:color w:val="000000" w:themeColor="text1"/>
          <w:sz w:val="44"/>
          <w:szCs w:val="44"/>
          <w14:textFill>
            <w14:solidFill>
              <w14:schemeClr w14:val="tx1"/>
            </w14:solidFill>
          </w14:textFill>
        </w:rPr>
        <w:instrText xml:space="preserve"> TOC \o "1-2" \h \z \u </w:instrText>
      </w:r>
      <w:r>
        <w:rPr>
          <w:rFonts w:hint="default" w:ascii="Times New Roman" w:hAnsi="Times New Roman" w:cs="Times New Roman"/>
          <w:color w:val="000000" w:themeColor="text1"/>
          <w:sz w:val="44"/>
          <w:szCs w:val="44"/>
          <w14:textFill>
            <w14:solidFill>
              <w14:schemeClr w14:val="tx1"/>
            </w14:solidFill>
          </w14:textFill>
        </w:rPr>
        <w:fldChar w:fldCharType="separate"/>
      </w: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_Toc17689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eastAsia="zh-CN"/>
          <w14:textFill>
            <w14:solidFill>
              <w14:schemeClr w14:val="tx1"/>
            </w14:solidFill>
          </w14:textFill>
        </w:rPr>
        <w:t>1</w:t>
      </w:r>
      <w:r>
        <w:rPr>
          <w:rFonts w:hint="default" w:ascii="Times New Roman" w:hAnsi="Times New Roman" w:cs="Times New Roman"/>
          <w:color w:val="000000" w:themeColor="text1"/>
          <w:szCs w:val="28"/>
          <w14:textFill>
            <w14:solidFill>
              <w14:schemeClr w14:val="tx1"/>
            </w14:solidFill>
          </w14:textFill>
        </w:rPr>
        <w:t xml:space="preserve"> 适用范围</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_Toc17689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_Toc30840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2 总则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_Toc30840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_Toc15428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2.1</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指导思想</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_Toc15428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_Toc2451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2.2</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主要任务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_Toc2451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_Toc63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3</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运行程序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_Toc18017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运行基础</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_Toc18017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_Toc25529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w:t>
      </w:r>
      <w:r>
        <w:rPr>
          <w:rFonts w:hint="default" w:ascii="Times New Roman" w:hAnsi="Times New Roman" w:cs="Times New Roman"/>
          <w:color w:val="000000" w:themeColor="text1"/>
          <w:szCs w:val="28"/>
          <w14:textFill>
            <w14:solidFill>
              <w14:schemeClr w14:val="tx1"/>
            </w14:solidFill>
          </w14:textFill>
        </w:rPr>
        <w:t>.</w:t>
      </w:r>
      <w:r>
        <w:rPr>
          <w:rFonts w:hint="default" w:ascii="Times New Roman" w:hAnsi="Times New Roman" w:cs="Times New Roman"/>
          <w:color w:val="000000" w:themeColor="text1"/>
          <w:szCs w:val="28"/>
          <w:lang w:val="en-US" w:eastAsia="zh-CN"/>
          <w14:textFill>
            <w14:solidFill>
              <w14:schemeClr w14:val="tx1"/>
            </w14:solidFill>
          </w14:textFill>
        </w:rPr>
        <w:t>1</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14:textFill>
            <w14:solidFill>
              <w14:schemeClr w14:val="tx1"/>
            </w14:solidFill>
          </w14:textFill>
        </w:rPr>
        <w:t>建立</w:t>
      </w:r>
      <w:r>
        <w:rPr>
          <w:rFonts w:hint="default" w:ascii="Times New Roman" w:hAnsi="Times New Roman" w:cs="Times New Roman"/>
          <w:color w:val="000000" w:themeColor="text1"/>
          <w:szCs w:val="28"/>
          <w:lang w:val="en-US" w:eastAsia="zh-CN"/>
          <w14:textFill>
            <w14:solidFill>
              <w14:schemeClr w14:val="tx1"/>
            </w14:solidFill>
          </w14:textFill>
        </w:rPr>
        <w:t>安全生产</w:t>
      </w:r>
      <w:r>
        <w:rPr>
          <w:rFonts w:hint="default" w:ascii="Times New Roman" w:hAnsi="Times New Roman" w:cs="Times New Roman"/>
          <w:color w:val="000000" w:themeColor="text1"/>
          <w:szCs w:val="28"/>
          <w14:textFill>
            <w14:solidFill>
              <w14:schemeClr w14:val="tx1"/>
            </w14:solidFill>
          </w14:textFill>
        </w:rPr>
        <w:t>组织</w:t>
      </w:r>
      <w:r>
        <w:rPr>
          <w:rFonts w:hint="default" w:ascii="Times New Roman" w:hAnsi="Times New Roman" w:cs="Times New Roman"/>
          <w:color w:val="000000" w:themeColor="text1"/>
          <w:szCs w:val="28"/>
          <w:lang w:val="en-US" w:eastAsia="zh-CN"/>
          <w14:textFill>
            <w14:solidFill>
              <w14:schemeClr w14:val="tx1"/>
            </w14:solidFill>
          </w14:textFill>
        </w:rPr>
        <w:t>机构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_Toc25529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_Toc12774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w:t>
      </w:r>
      <w:r>
        <w:rPr>
          <w:rFonts w:hint="default" w:ascii="Times New Roman" w:hAnsi="Times New Roman" w:cs="Times New Roman"/>
          <w:color w:val="000000" w:themeColor="text1"/>
          <w:szCs w:val="28"/>
          <w14:textFill>
            <w14:solidFill>
              <w14:schemeClr w14:val="tx1"/>
            </w14:solidFill>
          </w14:textFill>
        </w:rPr>
        <w:t>.</w:t>
      </w:r>
      <w:r>
        <w:rPr>
          <w:rFonts w:hint="default" w:ascii="Times New Roman" w:hAnsi="Times New Roman" w:cs="Times New Roman"/>
          <w:color w:val="000000" w:themeColor="text1"/>
          <w:szCs w:val="28"/>
          <w:lang w:val="en-US" w:eastAsia="zh-CN"/>
          <w14:textFill>
            <w14:solidFill>
              <w14:schemeClr w14:val="tx1"/>
            </w14:solidFill>
          </w14:textFill>
        </w:rPr>
        <w:t>2</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14:textFill>
            <w14:solidFill>
              <w14:schemeClr w14:val="tx1"/>
            </w14:solidFill>
          </w14:textFill>
        </w:rPr>
        <w:t>制定</w:t>
      </w:r>
      <w:r>
        <w:rPr>
          <w:rFonts w:hint="default" w:ascii="Times New Roman" w:hAnsi="Times New Roman" w:cs="Times New Roman"/>
          <w:color w:val="000000" w:themeColor="text1"/>
          <w:szCs w:val="28"/>
          <w:lang w:val="en-US" w:eastAsia="zh-CN"/>
          <w14:textFill>
            <w14:solidFill>
              <w14:schemeClr w14:val="tx1"/>
            </w14:solidFill>
          </w14:textFill>
        </w:rPr>
        <w:t>安全生产</w:t>
      </w:r>
      <w:r>
        <w:rPr>
          <w:rFonts w:hint="default" w:ascii="Times New Roman" w:hAnsi="Times New Roman" w:cs="Times New Roman"/>
          <w:color w:val="000000" w:themeColor="text1"/>
          <w:szCs w:val="28"/>
          <w14:textFill>
            <w14:solidFill>
              <w14:schemeClr w14:val="tx1"/>
            </w14:solidFill>
          </w14:textFill>
        </w:rPr>
        <w:t>工作目标</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_Toc12774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_Toc13427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4.3</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制定安全生产工作方案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_Toc13427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_Toc1665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4.4</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制定安全生产工作计划</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_Toc24677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4.5</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强化领导作用与资源保障</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_Toc24677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_Toc2813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运行实施</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_Toc2813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_Toc10528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5.1</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制定安全生产管理制度和操作规程</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_Toc10528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_Toc24807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5.2</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落实全员安全生产责任制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_Toc24807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_Toc32558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5.3</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开展安全生产教育培训</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_Toc32558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_Toc7925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5.4</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实施作业现场安全管理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_Toc7925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_Toc11644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5.5</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健全仪器设备安全管理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_Toc11644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_Toc24385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5.6</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开展安全风险管控与隐患排查治理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_Toc24385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8</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_Toc32022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5.7</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消防安全管理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_Toc32022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_Toc26777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5.8</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用电安全管理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_Toc26777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_Toc31674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5.9</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应急管理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_Toc31674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_Toc4933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5.10</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事故管理</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_Toc4933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13</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_Toc9231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6</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监督评审</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_Toc9231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14</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_Toc19682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6.1</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监督检查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_Toc19682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_Toc23682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6.2</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记录控制</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_Toc23682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6"/>
        <w:keepNext w:val="0"/>
        <w:keepLines w:val="0"/>
        <w:pageBreakBefore w:val="0"/>
        <w:widowControl w:val="0"/>
        <w:tabs>
          <w:tab w:val="right" w:leader="dot" w:pos="830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_Toc31823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6.3</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年度自评</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_Toc31823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_Toc10770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7 绩效评定</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_Toc10770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_Toc19898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szCs w:val="28"/>
          <w:lang w:val="en-US" w:eastAsia="zh-CN"/>
          <w14:textFill>
            <w14:solidFill>
              <w14:schemeClr w14:val="tx1"/>
            </w14:solidFill>
          </w14:textFill>
        </w:rPr>
        <w:t>8</w:t>
      </w:r>
      <w:r>
        <w:rPr>
          <w:rFonts w:hint="eastAsia" w:ascii="Times New Roman" w:hAnsi="Times New Roman" w:cs="Times New Roman"/>
          <w:color w:val="000000" w:themeColor="text1"/>
          <w:szCs w:val="28"/>
          <w:lang w:val="en-US" w:eastAsia="zh-CN"/>
          <w14:textFill>
            <w14:solidFill>
              <w14:schemeClr w14:val="tx1"/>
            </w14:solidFill>
          </w14:textFill>
        </w:rPr>
        <w:t xml:space="preserve"> </w:t>
      </w:r>
      <w:r>
        <w:rPr>
          <w:rFonts w:hint="default" w:ascii="Times New Roman" w:hAnsi="Times New Roman" w:cs="Times New Roman"/>
          <w:color w:val="000000" w:themeColor="text1"/>
          <w:szCs w:val="28"/>
          <w:lang w:val="en-US" w:eastAsia="zh-CN"/>
          <w14:textFill>
            <w14:solidFill>
              <w14:schemeClr w14:val="tx1"/>
            </w14:solidFill>
          </w14:textFill>
        </w:rPr>
        <w:t>持续改进</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_Toc19898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16</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_Toc28747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附录A 术语和定义</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_Toc28747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17</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_Toc1643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附录B 安全生产标准化建设评审流程图</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_Toc1643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18</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_Toc23045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附录C 安全生产管理制度清单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_Toc23045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_Toc14070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附录D 安全生产责任书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_Toc14070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20</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_Toc3029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附录E 员工安全生产教育和培训档案</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_Toc3029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21</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_Toc12631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附录F 外业作业通用安全要求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_Toc12631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22</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_Toc24290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附录G 外业作业分类安全要求</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_Toc24290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24</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_Toc7358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附录H 项目安全生产备案表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_Toc7358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28</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_Toc28063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附录I</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lang w:val="en-US" w:eastAsia="zh-CN"/>
          <w14:textFill>
            <w14:solidFill>
              <w14:schemeClr w14:val="tx1"/>
            </w14:solidFill>
          </w14:textFill>
        </w:rPr>
        <w:t>技术和安全交底清单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_Toc28063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29</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_Toc464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附录J 安全风险管控参考做法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_Toc464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30</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_Toc32302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附录K 事故隐患排查治理参考做法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_Toc32302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_Toc13806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附录L 评分细则</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_Toc13806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38</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_Toc16659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附录M 评分表</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_Toc16659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39</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_Toc7592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附录N 安全生产标准化资料台账参考目录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_Toc7592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65</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_Toc3659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附录O 安全生产标准化自评报告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_Toc3659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67</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5"/>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580" w:lineRule="exact"/>
        <w:textAlignment w:val="auto"/>
        <w:rPr>
          <w:color w:val="000000" w:themeColor="text1"/>
          <w14:textFill>
            <w14:solidFill>
              <w14:schemeClr w14:val="tx1"/>
            </w14:solidFill>
          </w14:textFill>
        </w:rPr>
      </w:pPr>
      <w:r>
        <w:rPr>
          <w:rFonts w:hint="default" w:ascii="Times New Roman" w:hAnsi="Times New Roman" w:cs="Times New Roman"/>
          <w:color w:val="000000" w:themeColor="text1"/>
          <w:szCs w:val="44"/>
          <w14:textFill>
            <w14:solidFill>
              <w14:schemeClr w14:val="tx1"/>
            </w14:solidFill>
          </w14:textFill>
        </w:rPr>
        <w:fldChar w:fldCharType="begin"/>
      </w:r>
      <w:r>
        <w:rPr>
          <w:rFonts w:hint="default" w:ascii="Times New Roman" w:hAnsi="Times New Roman" w:cs="Times New Roman"/>
          <w:color w:val="000000" w:themeColor="text1"/>
          <w:szCs w:val="44"/>
          <w14:textFill>
            <w14:solidFill>
              <w14:schemeClr w14:val="tx1"/>
            </w14:solidFill>
          </w14:textFill>
        </w:rPr>
        <w:instrText xml:space="preserve"> HYPERLINK \l _Toc26610 </w:instrText>
      </w:r>
      <w:r>
        <w:rPr>
          <w:rFonts w:hint="default" w:ascii="Times New Roman" w:hAnsi="Times New Roman" w:cs="Times New Roman"/>
          <w:color w:val="000000" w:themeColor="text1"/>
          <w:szCs w:val="44"/>
          <w14:textFill>
            <w14:solidFill>
              <w14:schemeClr w14:val="tx1"/>
            </w14:solidFill>
          </w14:textFill>
        </w:rPr>
        <w:fldChar w:fldCharType="separate"/>
      </w:r>
      <w:r>
        <w:rPr>
          <w:rFonts w:hint="default" w:ascii="Times New Roman" w:hAnsi="Times New Roman" w:cs="Times New Roman"/>
          <w:color w:val="000000" w:themeColor="text1"/>
          <w:lang w:val="en-US" w:eastAsia="zh-CN"/>
          <w14:textFill>
            <w14:solidFill>
              <w14:schemeClr w14:val="tx1"/>
            </w14:solidFill>
          </w14:textFill>
        </w:rPr>
        <w:t>附录P 参考文献</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_Toc26610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70</w:t>
      </w:r>
      <w:r>
        <w:rPr>
          <w:color w:val="000000" w:themeColor="text1"/>
          <w14:textFill>
            <w14:solidFill>
              <w14:schemeClr w14:val="tx1"/>
            </w14:solidFill>
          </w14:textFill>
        </w:rPr>
        <w:fldChar w:fldCharType="end"/>
      </w:r>
      <w:r>
        <w:rPr>
          <w:rFonts w:hint="default" w:ascii="Times New Roman" w:hAnsi="Times New Roman" w:cs="Times New Roman"/>
          <w:color w:val="000000" w:themeColor="text1"/>
          <w:szCs w:val="44"/>
          <w14:textFill>
            <w14:solidFill>
              <w14:schemeClr w14:val="tx1"/>
            </w14:solidFill>
          </w14:textFill>
        </w:rPr>
        <w:fldChar w:fldCharType="end"/>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580" w:lineRule="exact"/>
        <w:jc w:val="center"/>
        <w:textAlignment w:val="auto"/>
        <w:rPr>
          <w:rFonts w:hint="default" w:ascii="Times New Roman" w:hAnsi="Times New Roman" w:cs="Times New Roman"/>
          <w:color w:val="000000" w:themeColor="text1"/>
          <w:szCs w:val="44"/>
          <w14:textFill>
            <w14:solidFill>
              <w14:schemeClr w14:val="tx1"/>
            </w14:solidFill>
          </w14:textFill>
        </w:rPr>
        <w:sectPr>
          <w:footerReference r:id="rId4" w:type="default"/>
          <w:pgSz w:w="11906" w:h="16838"/>
          <w:pgMar w:top="1440" w:right="1800" w:bottom="1440" w:left="1800" w:header="851" w:footer="992" w:gutter="0"/>
          <w:pgNumType w:fmt="upperRoman"/>
          <w:cols w:space="425" w:num="1"/>
          <w:docGrid w:type="lines" w:linePitch="312" w:charSpace="0"/>
        </w:sectPr>
      </w:pPr>
      <w:r>
        <w:rPr>
          <w:rFonts w:hint="default" w:ascii="Times New Roman" w:hAnsi="Times New Roman" w:cs="Times New Roman"/>
          <w:color w:val="000000" w:themeColor="text1"/>
          <w:szCs w:val="44"/>
          <w14:textFill>
            <w14:solidFill>
              <w14:schemeClr w14:val="tx1"/>
            </w14:solidFill>
          </w14:textFill>
        </w:rPr>
        <w:fldChar w:fldCharType="end"/>
      </w: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32"/>
          <w:szCs w:val="32"/>
          <w14:textFill>
            <w14:solidFill>
              <w14:schemeClr w14:val="tx1"/>
            </w14:solidFill>
          </w14:textFill>
        </w:rPr>
      </w:pPr>
      <w:r>
        <w:rPr>
          <w:rFonts w:hint="default" w:ascii="Times New Roman" w:hAnsi="Times New Roman" w:cs="Times New Roman"/>
          <w:color w:val="000000" w:themeColor="text1"/>
          <w:sz w:val="32"/>
          <w:szCs w:val="32"/>
          <w14:textFill>
            <w14:solidFill>
              <w14:schemeClr w14:val="tx1"/>
            </w14:solidFill>
          </w14:textFill>
        </w:rPr>
        <w:t>广东省测绘单位安全生产标准化运行工作指南</w:t>
      </w:r>
      <w:r>
        <w:rPr>
          <w:rFonts w:hint="default" w:ascii="Times New Roman" w:hAnsi="Times New Roman" w:eastAsia="黑体" w:cs="Times New Roman"/>
          <w:color w:val="000000" w:themeColor="text1"/>
          <w:kern w:val="2"/>
          <w:sz w:val="32"/>
          <w:szCs w:val="32"/>
          <w:lang w:val="en-US" w:eastAsia="zh-CN" w:bidi="ar-SA"/>
          <w14:textFill>
            <w14:solidFill>
              <w14:schemeClr w14:val="tx1"/>
            </w14:solidFill>
          </w14:textFill>
        </w:rPr>
        <w:t>（试行）</w:t>
      </w:r>
    </w:p>
    <w:p>
      <w:pPr>
        <w:pStyle w:val="2"/>
        <w:spacing w:before="0" w:line="360" w:lineRule="auto"/>
        <w:jc w:val="both"/>
        <w:rPr>
          <w:rFonts w:hint="default" w:ascii="Times New Roman" w:hAnsi="Times New Roman" w:cs="Times New Roman"/>
          <w:color w:val="000000" w:themeColor="text1"/>
          <w:sz w:val="28"/>
          <w:szCs w:val="28"/>
          <w14:textFill>
            <w14:solidFill>
              <w14:schemeClr w14:val="tx1"/>
            </w14:solidFill>
          </w14:textFill>
        </w:rPr>
      </w:pPr>
      <w:bookmarkStart w:id="0" w:name="_Toc29638"/>
      <w:bookmarkStart w:id="1" w:name="_Toc22871"/>
      <w:bookmarkStart w:id="2" w:name="_Toc15610"/>
      <w:bookmarkStart w:id="3" w:name="_Toc6883"/>
      <w:bookmarkStart w:id="4" w:name="_Toc30944"/>
      <w:bookmarkStart w:id="5" w:name="_Toc7801"/>
      <w:bookmarkStart w:id="6" w:name="_Toc7901"/>
      <w:bookmarkStart w:id="7" w:name="_Toc23759"/>
      <w:bookmarkStart w:id="8" w:name="_Toc29051"/>
      <w:bookmarkStart w:id="9" w:name="_Toc12250"/>
      <w:bookmarkStart w:id="10" w:name="_Toc2725"/>
      <w:bookmarkStart w:id="11" w:name="_Toc24617"/>
      <w:bookmarkStart w:id="12" w:name="_Toc133074880"/>
      <w:bookmarkStart w:id="13" w:name="_Toc7299"/>
      <w:bookmarkStart w:id="14" w:name="_Toc4943"/>
      <w:bookmarkStart w:id="15" w:name="_Toc25112"/>
      <w:bookmarkStart w:id="16" w:name="_Toc399"/>
      <w:bookmarkStart w:id="17" w:name="_Toc29167"/>
      <w:bookmarkStart w:id="18" w:name="_Toc4115"/>
      <w:bookmarkStart w:id="19" w:name="_Toc14971"/>
      <w:bookmarkStart w:id="20" w:name="_Toc12804"/>
      <w:bookmarkStart w:id="21" w:name="_Toc2675"/>
      <w:bookmarkStart w:id="22" w:name="_Toc29636"/>
      <w:bookmarkStart w:id="23" w:name="_Toc16697"/>
      <w:bookmarkStart w:id="24" w:name="_Toc17689"/>
      <w:bookmarkStart w:id="25" w:name="_Toc12926"/>
      <w:r>
        <w:rPr>
          <w:rFonts w:hint="default" w:ascii="Times New Roman" w:hAnsi="Times New Roman" w:cs="Times New Roman"/>
          <w:color w:val="000000" w:themeColor="text1"/>
          <w:sz w:val="28"/>
          <w:szCs w:val="28"/>
          <w:lang w:eastAsia="zh-CN"/>
          <w14:textFill>
            <w14:solidFill>
              <w14:schemeClr w14:val="tx1"/>
            </w14:solidFill>
          </w14:textFill>
        </w:rPr>
        <w:t>1</w:t>
      </w:r>
      <w:r>
        <w:rPr>
          <w:rFonts w:hint="default" w:ascii="Times New Roman" w:hAnsi="Times New Roman" w:cs="Times New Roman"/>
          <w:color w:val="000000" w:themeColor="text1"/>
          <w:sz w:val="28"/>
          <w:szCs w:val="28"/>
          <w14:textFill>
            <w14:solidFill>
              <w14:schemeClr w14:val="tx1"/>
            </w14:solidFill>
          </w14:textFill>
        </w:rPr>
        <w:t xml:space="preserve"> 适用范围</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本指南</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用于指导</w:t>
      </w:r>
      <w:r>
        <w:rPr>
          <w:rFonts w:hint="default" w:ascii="Times New Roman" w:hAnsi="Times New Roman" w:eastAsia="宋体" w:cs="Times New Roman"/>
          <w:color w:val="000000" w:themeColor="text1"/>
          <w:sz w:val="21"/>
          <w:szCs w:val="21"/>
          <w14:textFill>
            <w14:solidFill>
              <w14:schemeClr w14:val="tx1"/>
            </w14:solidFill>
          </w14:textFill>
        </w:rPr>
        <w:t>广东省行政区域内从事测绘地理信息生产、服务、技术研发等</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相关工作</w:t>
      </w:r>
      <w:r>
        <w:rPr>
          <w:rFonts w:hint="default" w:ascii="Times New Roman" w:hAnsi="Times New Roman" w:eastAsia="宋体" w:cs="Times New Roman"/>
          <w:color w:val="000000" w:themeColor="text1"/>
          <w:sz w:val="21"/>
          <w:szCs w:val="21"/>
          <w14:textFill>
            <w14:solidFill>
              <w14:schemeClr w14:val="tx1"/>
            </w14:solidFill>
          </w14:textFill>
        </w:rPr>
        <w:t>的测绘单位</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规范并提升</w:t>
      </w:r>
      <w:r>
        <w:rPr>
          <w:rFonts w:hint="default" w:ascii="Times New Roman" w:hAnsi="Times New Roman" w:eastAsia="宋体" w:cs="Times New Roman"/>
          <w:color w:val="000000" w:themeColor="text1"/>
          <w:sz w:val="21"/>
          <w:szCs w:val="21"/>
          <w14:textFill>
            <w14:solidFill>
              <w14:schemeClr w14:val="tx1"/>
            </w14:solidFill>
          </w14:textFill>
        </w:rPr>
        <w:t>安全生产标准化建设工作。</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6" w:name="_Toc4845"/>
      <w:bookmarkStart w:id="27" w:name="_Toc26912"/>
      <w:bookmarkStart w:id="28" w:name="_Toc26000"/>
      <w:bookmarkStart w:id="29" w:name="_Toc29750"/>
      <w:bookmarkStart w:id="30" w:name="_Toc25"/>
      <w:bookmarkStart w:id="31" w:name="_Toc16683"/>
      <w:bookmarkStart w:id="32" w:name="_Toc27891"/>
      <w:bookmarkStart w:id="33" w:name="_Toc28181"/>
      <w:bookmarkStart w:id="34" w:name="_Toc21225"/>
      <w:bookmarkStart w:id="35" w:name="_Toc30840"/>
      <w:bookmarkStart w:id="36" w:name="_Toc11363"/>
      <w:bookmarkStart w:id="37" w:name="_Toc32392"/>
      <w:bookmarkStart w:id="38" w:name="_Toc19128"/>
      <w:bookmarkStart w:id="39" w:name="_Toc13767"/>
      <w:bookmarkStart w:id="40" w:name="_Toc17646"/>
      <w:r>
        <w:rPr>
          <w:rFonts w:hint="default" w:ascii="Times New Roman" w:hAnsi="Times New Roman" w:cs="Times New Roman"/>
          <w:color w:val="000000" w:themeColor="text1"/>
          <w:sz w:val="28"/>
          <w:szCs w:val="28"/>
          <w:lang w:val="en-US" w:eastAsia="zh-CN"/>
          <w14:textFill>
            <w14:solidFill>
              <w14:schemeClr w14:val="tx1"/>
            </w14:solidFill>
          </w14:textFill>
        </w:rPr>
        <w:t>2 总则</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41" w:name="_Toc10591"/>
      <w:bookmarkStart w:id="42" w:name="_Toc10705"/>
      <w:bookmarkStart w:id="43" w:name="_Toc4301"/>
      <w:bookmarkStart w:id="44" w:name="_Toc8932"/>
      <w:bookmarkStart w:id="45" w:name="_Toc27418"/>
      <w:bookmarkStart w:id="46" w:name="_Toc6113"/>
      <w:bookmarkStart w:id="47" w:name="_Toc31200"/>
      <w:bookmarkStart w:id="48" w:name="_Toc16730"/>
      <w:bookmarkStart w:id="49" w:name="_Toc24276"/>
      <w:bookmarkStart w:id="50" w:name="_Toc10952"/>
      <w:bookmarkStart w:id="51" w:name="_Toc2124"/>
      <w:bookmarkStart w:id="52" w:name="_Toc15428"/>
      <w:bookmarkStart w:id="53" w:name="_Toc23048"/>
      <w:bookmarkStart w:id="54" w:name="_Toc27930"/>
      <w:bookmarkStart w:id="55" w:name="_Toc11454"/>
      <w:r>
        <w:rPr>
          <w:rFonts w:hint="default" w:ascii="Times New Roman" w:hAnsi="Times New Roman" w:cs="Times New Roman"/>
          <w:color w:val="000000" w:themeColor="text1"/>
          <w:sz w:val="28"/>
          <w:szCs w:val="28"/>
          <w:lang w:val="en-US" w:eastAsia="zh-CN"/>
          <w14:textFill>
            <w14:solidFill>
              <w14:schemeClr w14:val="tx1"/>
            </w14:solidFill>
          </w14:textFill>
        </w:rPr>
        <w:t>2.1</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指导思想</w:t>
      </w:r>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以习近平新时代中国特色社会主义思想为指导，牢固树立安全发展理念，坚守发展决不能以牺牲安全为代价这条不可逾越的红线，以防范遏制各类生产安全事故为重点，坚持“安全第一、预防为主、综合治理”的基本方针，通过开展安全生产标准化工作，完善安全生产管理体制机制，落实安全生产主体责任，夯实安全生产基础，强化安全风险分级管控与隐患排查治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双重预防机制</w:t>
      </w:r>
      <w:r>
        <w:rPr>
          <w:rFonts w:hint="default" w:ascii="Times New Roman" w:hAnsi="Times New Roman" w:eastAsia="宋体" w:cs="Times New Roman"/>
          <w:color w:val="000000" w:themeColor="text1"/>
          <w:sz w:val="21"/>
          <w:szCs w:val="21"/>
          <w14:textFill>
            <w14:solidFill>
              <w14:schemeClr w14:val="tx1"/>
            </w14:solidFill>
          </w14:textFill>
        </w:rPr>
        <w:t>（见附录A），完善应急管理体系和加强应急能力建设，推进测绘地理信息生产安全等工作，为全面建设社会主义现代化国家提供坚强安全保障。</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56" w:name="_Toc15616"/>
      <w:bookmarkStart w:id="57" w:name="_Toc392"/>
      <w:bookmarkStart w:id="58" w:name="_Toc9692"/>
      <w:bookmarkStart w:id="59" w:name="_Toc26574"/>
      <w:bookmarkStart w:id="60" w:name="_Toc2451"/>
      <w:bookmarkStart w:id="61" w:name="_Toc14009"/>
      <w:bookmarkStart w:id="62" w:name="_Toc3366"/>
      <w:bookmarkStart w:id="63" w:name="_Toc10949"/>
      <w:bookmarkStart w:id="64" w:name="_Toc17017"/>
      <w:bookmarkStart w:id="65" w:name="_Toc31592"/>
      <w:bookmarkStart w:id="66" w:name="_Toc18441"/>
      <w:bookmarkStart w:id="67" w:name="_Toc14551"/>
      <w:bookmarkStart w:id="68" w:name="_Toc27600"/>
      <w:bookmarkStart w:id="69" w:name="_Toc3161"/>
      <w:bookmarkStart w:id="70" w:name="_Toc21882"/>
      <w:r>
        <w:rPr>
          <w:rFonts w:hint="default" w:ascii="Times New Roman" w:hAnsi="Times New Roman" w:cs="Times New Roman"/>
          <w:color w:val="000000" w:themeColor="text1"/>
          <w:sz w:val="28"/>
          <w:szCs w:val="28"/>
          <w:lang w:val="en-US" w:eastAsia="zh-CN"/>
          <w14:textFill>
            <w14:solidFill>
              <w14:schemeClr w14:val="tx1"/>
            </w14:solidFill>
          </w14:textFill>
        </w:rPr>
        <w:t>2.2</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主要任务</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通过安全生产标准化建设，推动测绘单位安全生产管理体制机制更加完善、管理制度持续健全、预防体系不断优化，从业人员安全素质整体提升，安全应急保障能力显著增强，为测绘行业更好服务经济社会发展奠定坚实基础。</w:t>
      </w:r>
    </w:p>
    <w:p>
      <w:pPr>
        <w:pStyle w:val="2"/>
        <w:spacing w:before="0" w:line="360" w:lineRule="auto"/>
        <w:jc w:val="both"/>
        <w:rPr>
          <w:rFonts w:hint="default" w:ascii="Times New Roman" w:hAnsi="Times New Roman" w:cs="Times New Roman"/>
          <w:color w:val="000000" w:themeColor="text1"/>
          <w:sz w:val="28"/>
          <w:szCs w:val="28"/>
          <w14:textFill>
            <w14:solidFill>
              <w14:schemeClr w14:val="tx1"/>
            </w14:solidFill>
          </w14:textFill>
        </w:rPr>
      </w:pPr>
      <w:bookmarkStart w:id="71" w:name="_Toc27440"/>
      <w:bookmarkStart w:id="72" w:name="_Toc63"/>
      <w:bookmarkStart w:id="73" w:name="_Toc8965"/>
      <w:bookmarkStart w:id="74" w:name="_Toc17667"/>
      <w:bookmarkStart w:id="75" w:name="_Toc2024"/>
      <w:bookmarkStart w:id="76" w:name="_Toc13050"/>
      <w:bookmarkStart w:id="77" w:name="_Toc22249"/>
      <w:bookmarkStart w:id="78" w:name="_Toc14011"/>
      <w:bookmarkStart w:id="79" w:name="_Toc5778"/>
      <w:bookmarkStart w:id="80" w:name="_Toc7838"/>
      <w:bookmarkStart w:id="81" w:name="_Toc2365"/>
      <w:bookmarkStart w:id="82" w:name="_Toc3936"/>
      <w:bookmarkStart w:id="83" w:name="_Toc7963"/>
      <w:bookmarkStart w:id="84" w:name="_Toc9585"/>
      <w:bookmarkStart w:id="85" w:name="_Toc16095"/>
      <w:bookmarkStart w:id="86" w:name="_Toc24103"/>
      <w:bookmarkStart w:id="87" w:name="_Toc30358"/>
      <w:bookmarkStart w:id="88" w:name="_Toc133074886"/>
      <w:bookmarkStart w:id="89" w:name="_Toc11357"/>
      <w:bookmarkStart w:id="90" w:name="_Toc28358"/>
      <w:bookmarkStart w:id="91" w:name="_Toc5472"/>
      <w:bookmarkStart w:id="92" w:name="_Toc30546"/>
      <w:bookmarkStart w:id="93" w:name="_Toc13715"/>
      <w:bookmarkStart w:id="94" w:name="_Toc16900"/>
      <w:bookmarkStart w:id="95" w:name="_Toc5823"/>
      <w:bookmarkStart w:id="96" w:name="_Toc12481"/>
      <w:r>
        <w:rPr>
          <w:rFonts w:hint="default" w:ascii="Times New Roman" w:hAnsi="Times New Roman" w:cs="Times New Roman"/>
          <w:color w:val="000000" w:themeColor="text1"/>
          <w:sz w:val="28"/>
          <w:szCs w:val="28"/>
          <w:lang w:val="en-US" w:eastAsia="zh-CN"/>
          <w14:textFill>
            <w14:solidFill>
              <w14:schemeClr w14:val="tx1"/>
            </w14:solidFill>
          </w14:textFill>
        </w:rPr>
        <w:t>3</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运行程序</w:t>
      </w:r>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xml:space="preserve">充分发挥各级领导示范引领与关键作用，以组织体系、责任落实、资金保障、科技支撑为基础依托。安全生产标准化工作采用“领导-支持-策划-实施-检查-改进（LS-PDCA）”动态循环管理模式，测绘单位须依据本《指南》要求，结合自身特点，建立并保持安全生产标准化体系。在领导层引领指导下，统筹提供全过程、全方位工作支撑与资源配置，通过自我检查、自主自评、自我纠偏、自我完善（见附录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B</w:t>
      </w:r>
      <w:r>
        <w:rPr>
          <w:rFonts w:hint="default" w:ascii="Times New Roman" w:hAnsi="Times New Roman" w:eastAsia="宋体" w:cs="Times New Roman"/>
          <w:color w:val="000000" w:themeColor="text1"/>
          <w:sz w:val="21"/>
          <w:szCs w:val="21"/>
          <w14:textFill>
            <w14:solidFill>
              <w14:schemeClr w14:val="tx1"/>
            </w14:solidFill>
          </w14:textFill>
        </w:rPr>
        <w:t>），构建契合单位实际、运行持续有效的安全生产长效机制，实现标准化管理闭环迭代与动态提升。</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97" w:name="_Toc18017"/>
      <w:bookmarkStart w:id="98" w:name="_Toc31090"/>
      <w:bookmarkStart w:id="99" w:name="_Toc21954"/>
      <w:bookmarkStart w:id="100" w:name="_Toc15284"/>
      <w:bookmarkStart w:id="101" w:name="_Toc727"/>
      <w:bookmarkStart w:id="102" w:name="_Toc31258"/>
      <w:bookmarkStart w:id="103" w:name="_Toc8196"/>
      <w:bookmarkStart w:id="104" w:name="_Toc23174"/>
      <w:bookmarkStart w:id="105" w:name="_Toc2790"/>
      <w:bookmarkStart w:id="106" w:name="_Toc12375"/>
      <w:bookmarkStart w:id="107" w:name="_Toc14709"/>
      <w:bookmarkStart w:id="108" w:name="_Toc31523"/>
      <w:bookmarkStart w:id="109" w:name="_Toc2172"/>
      <w:bookmarkStart w:id="110" w:name="_Toc14474"/>
      <w:r>
        <w:rPr>
          <w:rFonts w:hint="default" w:ascii="Times New Roman" w:hAnsi="Times New Roman" w:cs="Times New Roman"/>
          <w:color w:val="000000" w:themeColor="text1"/>
          <w:sz w:val="28"/>
          <w:szCs w:val="28"/>
          <w:lang w:val="en-US" w:eastAsia="zh-CN"/>
          <w14:textFill>
            <w14:solidFill>
              <w14:schemeClr w14:val="tx1"/>
            </w14:solidFill>
          </w14:textFill>
        </w:rPr>
        <w:t>4</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运行基础</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111" w:name="_Toc133074889"/>
      <w:bookmarkStart w:id="112" w:name="_Toc29397"/>
      <w:bookmarkStart w:id="113" w:name="_Toc10193"/>
      <w:bookmarkStart w:id="114" w:name="_Toc27636"/>
      <w:bookmarkStart w:id="115" w:name="_Toc12474"/>
      <w:bookmarkStart w:id="116" w:name="_Toc2267"/>
      <w:bookmarkStart w:id="117" w:name="_Toc31958"/>
      <w:bookmarkStart w:id="118" w:name="_Toc29084"/>
      <w:bookmarkStart w:id="119" w:name="_Toc19870"/>
      <w:bookmarkStart w:id="120" w:name="_Toc11317"/>
      <w:bookmarkStart w:id="121" w:name="_Toc20662"/>
      <w:bookmarkStart w:id="122" w:name="_Toc36"/>
      <w:bookmarkStart w:id="123" w:name="_Toc27117"/>
      <w:bookmarkStart w:id="124" w:name="_Toc22347"/>
      <w:bookmarkStart w:id="125" w:name="_Toc29481"/>
      <w:bookmarkStart w:id="126" w:name="_Toc22392"/>
      <w:bookmarkStart w:id="127" w:name="_Toc12907"/>
      <w:bookmarkStart w:id="128" w:name="_Toc8239"/>
      <w:bookmarkStart w:id="129" w:name="_Toc29496"/>
      <w:bookmarkStart w:id="130" w:name="_Toc16813"/>
      <w:bookmarkStart w:id="131" w:name="_Toc8367"/>
      <w:bookmarkStart w:id="132" w:name="_Toc27889"/>
      <w:bookmarkStart w:id="133" w:name="_Toc13240"/>
      <w:bookmarkStart w:id="134" w:name="_Toc25529"/>
      <w:bookmarkStart w:id="135" w:name="_Toc7533"/>
      <w:bookmarkStart w:id="136" w:name="_Toc8555"/>
      <w:r>
        <w:rPr>
          <w:rFonts w:hint="default" w:ascii="Times New Roman" w:hAnsi="Times New Roman" w:cs="Times New Roman"/>
          <w:color w:val="000000" w:themeColor="text1"/>
          <w:sz w:val="28"/>
          <w:szCs w:val="28"/>
          <w:lang w:val="en-US" w:eastAsia="zh-CN"/>
          <w14:textFill>
            <w14:solidFill>
              <w14:schemeClr w14:val="tx1"/>
            </w14:solidFill>
          </w14:textFill>
        </w:rPr>
        <w:t>4</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eastAsia="zh-CN"/>
          <w14:textFill>
            <w14:solidFill>
              <w14:schemeClr w14:val="tx1"/>
            </w14:solidFill>
          </w14:textFill>
        </w:rPr>
        <w:t>1</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建立</w:t>
      </w:r>
      <w:r>
        <w:rPr>
          <w:rFonts w:hint="default" w:ascii="Times New Roman" w:hAnsi="Times New Roman" w:cs="Times New Roman"/>
          <w:color w:val="000000" w:themeColor="text1"/>
          <w:sz w:val="28"/>
          <w:szCs w:val="28"/>
          <w:lang w:val="en-US" w:eastAsia="zh-CN"/>
          <w14:textFill>
            <w14:solidFill>
              <w14:schemeClr w14:val="tx1"/>
            </w14:solidFill>
          </w14:textFill>
        </w:rPr>
        <w:t>安全生产</w:t>
      </w:r>
      <w:r>
        <w:rPr>
          <w:rFonts w:hint="default" w:ascii="Times New Roman" w:hAnsi="Times New Roman" w:cs="Times New Roman"/>
          <w:color w:val="000000" w:themeColor="text1"/>
          <w:sz w:val="28"/>
          <w:szCs w:val="28"/>
          <w14:textFill>
            <w14:solidFill>
              <w14:schemeClr w14:val="tx1"/>
            </w14:solidFill>
          </w14:textFill>
        </w:rPr>
        <w:t>组织</w:t>
      </w:r>
      <w:bookmarkEnd w:id="111"/>
      <w:r>
        <w:rPr>
          <w:rFonts w:hint="default" w:ascii="Times New Roman" w:hAnsi="Times New Roman" w:cs="Times New Roman"/>
          <w:color w:val="000000" w:themeColor="text1"/>
          <w:sz w:val="28"/>
          <w:szCs w:val="28"/>
          <w:lang w:val="en-US" w:eastAsia="zh-CN"/>
          <w14:textFill>
            <w14:solidFill>
              <w14:schemeClr w14:val="tx1"/>
            </w14:solidFill>
          </w14:textFill>
        </w:rPr>
        <w:t>机构</w:t>
      </w:r>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从业人员超过一百人的，应当设置安全生产管理机构或配备专职安全生产管理人员；从业人员在一百人以下的，应当配备专职或者兼职的安全生产管理人员，鼓励有条件的单位设置安全生产管理机构和配备专职安全生产管理人员。鼓励聘用注册安全工程师为安全生产管理人员。</w:t>
      </w:r>
    </w:p>
    <w:p>
      <w:pPr>
        <w:pStyle w:val="3"/>
        <w:spacing w:before="0" w:line="360" w:lineRule="auto"/>
        <w:jc w:val="both"/>
        <w:rPr>
          <w:rFonts w:hint="default" w:ascii="Times New Roman" w:hAnsi="Times New Roman" w:cs="Times New Roman"/>
          <w:color w:val="000000" w:themeColor="text1"/>
          <w:sz w:val="28"/>
          <w:szCs w:val="28"/>
          <w14:textFill>
            <w14:solidFill>
              <w14:schemeClr w14:val="tx1"/>
            </w14:solidFill>
          </w14:textFill>
        </w:rPr>
      </w:pPr>
      <w:bookmarkStart w:id="137" w:name="_Toc2362"/>
      <w:bookmarkStart w:id="138" w:name="_Toc28494"/>
      <w:bookmarkStart w:id="139" w:name="_Toc9936"/>
      <w:bookmarkStart w:id="140" w:name="_Toc22350"/>
      <w:bookmarkStart w:id="141" w:name="_Toc28974"/>
      <w:bookmarkStart w:id="142" w:name="_Toc4859"/>
      <w:bookmarkStart w:id="143" w:name="_Toc4398"/>
      <w:bookmarkStart w:id="144" w:name="_Toc1546"/>
      <w:bookmarkStart w:id="145" w:name="_Toc10573"/>
      <w:bookmarkStart w:id="146" w:name="_Toc19962"/>
      <w:bookmarkStart w:id="147" w:name="_Toc21613"/>
      <w:bookmarkStart w:id="148" w:name="_Toc27781"/>
      <w:bookmarkStart w:id="149" w:name="_Toc30522"/>
      <w:bookmarkStart w:id="150" w:name="_Toc12774"/>
      <w:bookmarkStart w:id="151" w:name="_Toc11920"/>
      <w:bookmarkStart w:id="152" w:name="_Toc29302"/>
      <w:bookmarkStart w:id="153" w:name="_Toc19781"/>
      <w:bookmarkStart w:id="154" w:name="_Toc4074"/>
      <w:bookmarkStart w:id="155" w:name="_Toc21952"/>
      <w:bookmarkStart w:id="156" w:name="_Toc25028"/>
      <w:bookmarkStart w:id="157" w:name="_Toc19656"/>
      <w:bookmarkStart w:id="158" w:name="_Toc9250"/>
      <w:bookmarkStart w:id="159" w:name="_Toc30081"/>
      <w:bookmarkStart w:id="160" w:name="_Toc6788"/>
      <w:bookmarkStart w:id="161" w:name="_Toc27054"/>
      <w:r>
        <w:rPr>
          <w:rFonts w:hint="default" w:ascii="Times New Roman" w:hAnsi="Times New Roman" w:cs="Times New Roman"/>
          <w:color w:val="000000" w:themeColor="text1"/>
          <w:sz w:val="28"/>
          <w:szCs w:val="28"/>
          <w:lang w:val="en-US" w:eastAsia="zh-CN"/>
          <w14:textFill>
            <w14:solidFill>
              <w14:schemeClr w14:val="tx1"/>
            </w14:solidFill>
          </w14:textFill>
        </w:rPr>
        <w:t>4</w:t>
      </w:r>
      <w:r>
        <w:rPr>
          <w:rFonts w:hint="default" w:ascii="Times New Roman" w:hAnsi="Times New Roman" w:cs="Times New Roman"/>
          <w:color w:val="000000" w:themeColor="text1"/>
          <w:sz w:val="28"/>
          <w:szCs w:val="28"/>
          <w14:textFill>
            <w14:solidFill>
              <w14:schemeClr w14:val="tx1"/>
            </w14:solidFill>
          </w14:textFill>
        </w:rPr>
        <w:t>.</w:t>
      </w:r>
      <w:r>
        <w:rPr>
          <w:rFonts w:hint="default" w:ascii="Times New Roman" w:hAnsi="Times New Roman" w:cs="Times New Roman"/>
          <w:color w:val="000000" w:themeColor="text1"/>
          <w:sz w:val="28"/>
          <w:szCs w:val="28"/>
          <w:lang w:val="en-US" w:eastAsia="zh-CN"/>
          <w14:textFill>
            <w14:solidFill>
              <w14:schemeClr w14:val="tx1"/>
            </w14:solidFill>
          </w14:textFill>
        </w:rPr>
        <w:t>2</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14:textFill>
            <w14:solidFill>
              <w14:schemeClr w14:val="tx1"/>
            </w14:solidFill>
          </w14:textFill>
        </w:rPr>
        <w:t>制定</w:t>
      </w:r>
      <w:r>
        <w:rPr>
          <w:rFonts w:hint="default" w:ascii="Times New Roman" w:hAnsi="Times New Roman" w:cs="Times New Roman"/>
          <w:color w:val="000000" w:themeColor="text1"/>
          <w:sz w:val="28"/>
          <w:szCs w:val="28"/>
          <w:lang w:val="en-US" w:eastAsia="zh-CN"/>
          <w14:textFill>
            <w14:solidFill>
              <w14:schemeClr w14:val="tx1"/>
            </w14:solidFill>
          </w14:textFill>
        </w:rPr>
        <w:t>安全生产</w:t>
      </w:r>
      <w:r>
        <w:rPr>
          <w:rFonts w:hint="default" w:ascii="Times New Roman" w:hAnsi="Times New Roman" w:cs="Times New Roman"/>
          <w:color w:val="000000" w:themeColor="text1"/>
          <w:sz w:val="28"/>
          <w:szCs w:val="28"/>
          <w14:textFill>
            <w14:solidFill>
              <w14:schemeClr w14:val="tx1"/>
            </w14:solidFill>
          </w14:textFill>
        </w:rPr>
        <w:t>工作目标</w:t>
      </w:r>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测绘单位根据自身安全生产实际和国家、省市有关安全生产法律法规标准和行业安全生产管理要求，制定总体和年度安全生产目标。</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对其所属单位和部门在测绘工作活动中的职能，制定安全生产考核目标、指标。</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162" w:name="_Toc31677"/>
      <w:bookmarkStart w:id="163" w:name="_Toc6241"/>
      <w:bookmarkStart w:id="164" w:name="_Toc26352"/>
      <w:bookmarkStart w:id="165" w:name="_Toc21399"/>
      <w:bookmarkStart w:id="166" w:name="_Toc14798"/>
      <w:bookmarkStart w:id="167" w:name="_Toc8961"/>
      <w:bookmarkStart w:id="168" w:name="_Toc7896"/>
      <w:bookmarkStart w:id="169" w:name="_Toc24112"/>
      <w:bookmarkStart w:id="170" w:name="_Toc15897"/>
      <w:bookmarkStart w:id="171" w:name="_Toc4828"/>
      <w:bookmarkStart w:id="172" w:name="_Toc27849"/>
      <w:bookmarkStart w:id="173" w:name="_Toc18333"/>
      <w:bookmarkStart w:id="174" w:name="_Toc7151"/>
      <w:bookmarkStart w:id="175" w:name="_Toc28482"/>
      <w:bookmarkStart w:id="176" w:name="_Toc133074890"/>
      <w:bookmarkStart w:id="177" w:name="_Toc1257"/>
      <w:bookmarkStart w:id="178" w:name="_Toc289"/>
      <w:bookmarkStart w:id="179" w:name="_Toc2605"/>
      <w:bookmarkStart w:id="180" w:name="_Toc20811"/>
      <w:bookmarkStart w:id="181" w:name="_Toc13427"/>
      <w:bookmarkStart w:id="182" w:name="_Toc7191"/>
      <w:bookmarkStart w:id="183" w:name="_Toc9079"/>
      <w:bookmarkStart w:id="184" w:name="_Toc12677"/>
      <w:bookmarkStart w:id="185" w:name="_Toc29239"/>
      <w:bookmarkStart w:id="186" w:name="_Toc11728"/>
      <w:bookmarkStart w:id="187" w:name="_Toc30562"/>
      <w:r>
        <w:rPr>
          <w:rFonts w:hint="default" w:ascii="Times New Roman" w:hAnsi="Times New Roman" w:cs="Times New Roman"/>
          <w:color w:val="000000" w:themeColor="text1"/>
          <w:sz w:val="28"/>
          <w:szCs w:val="28"/>
          <w:lang w:val="en-US" w:eastAsia="zh-CN"/>
          <w14:textFill>
            <w14:solidFill>
              <w14:schemeClr w14:val="tx1"/>
            </w14:solidFill>
          </w14:textFill>
        </w:rPr>
        <w:t>4.3</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制定安全生产工作方案</w:t>
      </w:r>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安全生产管理机构或安全生产管理人员每年应制定本单位年度安全生产工作方案，明确安全生产工作目标、责任人、时间、经费投入、工作安排和考核等内容。</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188" w:name="_Toc26927"/>
      <w:bookmarkStart w:id="189" w:name="_Toc4892"/>
      <w:bookmarkStart w:id="190" w:name="_Toc12796"/>
      <w:bookmarkStart w:id="191" w:name="_Toc18228"/>
      <w:bookmarkStart w:id="192" w:name="_Toc15195"/>
      <w:bookmarkStart w:id="193" w:name="_Toc9458"/>
      <w:bookmarkStart w:id="194" w:name="_Toc3705"/>
      <w:bookmarkStart w:id="195" w:name="_Toc8491"/>
      <w:bookmarkStart w:id="196" w:name="_Toc10206"/>
      <w:bookmarkStart w:id="197" w:name="_Toc27850"/>
      <w:bookmarkStart w:id="198" w:name="_Toc25720"/>
      <w:bookmarkStart w:id="199" w:name="_Toc27969"/>
      <w:bookmarkStart w:id="200" w:name="_Toc27703"/>
      <w:bookmarkStart w:id="201" w:name="_Toc6209"/>
      <w:bookmarkStart w:id="202" w:name="_Toc14077"/>
      <w:bookmarkStart w:id="203" w:name="_Toc26665"/>
      <w:bookmarkStart w:id="204" w:name="_Toc5332"/>
      <w:bookmarkStart w:id="205" w:name="_Toc1665"/>
      <w:bookmarkStart w:id="206" w:name="_Toc11165"/>
      <w:bookmarkStart w:id="207" w:name="_Toc2793"/>
      <w:bookmarkStart w:id="208" w:name="_Toc7288"/>
      <w:bookmarkStart w:id="209" w:name="_Toc13450"/>
      <w:bookmarkStart w:id="210" w:name="_Toc133074891"/>
      <w:bookmarkStart w:id="211" w:name="_Toc13546"/>
      <w:bookmarkStart w:id="212" w:name="_Toc4051"/>
      <w:bookmarkStart w:id="213" w:name="_Toc32700"/>
      <w:r>
        <w:rPr>
          <w:rFonts w:hint="default" w:ascii="Times New Roman" w:hAnsi="Times New Roman" w:cs="Times New Roman"/>
          <w:color w:val="000000" w:themeColor="text1"/>
          <w:sz w:val="28"/>
          <w:szCs w:val="28"/>
          <w:lang w:val="en-US" w:eastAsia="zh-CN"/>
          <w14:textFill>
            <w14:solidFill>
              <w14:schemeClr w14:val="tx1"/>
            </w14:solidFill>
          </w14:textFill>
        </w:rPr>
        <w:t>4.4</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制定安全生产工作计划</w:t>
      </w:r>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围绕年度安全生产工作目标，制定年度安全生产工作计划，计划应明确工作内容、资源需求、责任主体、完成时限、评价方式，以及安全目标措施与业务过程的融合方式。</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14" w:name="_Toc22184"/>
      <w:bookmarkStart w:id="215" w:name="_Toc24677"/>
      <w:r>
        <w:rPr>
          <w:rFonts w:hint="default" w:ascii="Times New Roman" w:hAnsi="Times New Roman" w:cs="Times New Roman"/>
          <w:color w:val="000000" w:themeColor="text1"/>
          <w:sz w:val="28"/>
          <w:szCs w:val="28"/>
          <w:lang w:val="en-US" w:eastAsia="zh-CN"/>
          <w14:textFill>
            <w14:solidFill>
              <w14:schemeClr w14:val="tx1"/>
            </w14:solidFill>
          </w14:textFill>
        </w:rPr>
        <w:t>4.5</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强化领导作用与资源保障</w:t>
      </w:r>
      <w:bookmarkEnd w:id="214"/>
      <w:bookmarkEnd w:id="215"/>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测绘单位主要负责人应将安全生产标准化建设纳入单位年度重点工作，组织审定安全生产目标、工作方案、资金投入和重大风险管控措施，定期听取体系运行情况，协调解决跨部门、跨项目安全管理事项。</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应保障安全生产标准化运行所需的人员、经费、装备、信息化和外部协同资源。承担高危地区、应急测绘、海域测绘、境外测绘等项目的，应结合项目风险配置通信定位、应急救援、个体防护和过程监管等必要条件。</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16" w:name="_Toc14609"/>
      <w:bookmarkStart w:id="217" w:name="_Toc31223"/>
      <w:bookmarkStart w:id="218" w:name="_Toc16387"/>
      <w:bookmarkStart w:id="219" w:name="_Toc15374"/>
      <w:bookmarkStart w:id="220" w:name="_Toc26235"/>
      <w:bookmarkStart w:id="221" w:name="_Toc6975"/>
      <w:bookmarkStart w:id="222" w:name="_Toc3335"/>
      <w:bookmarkStart w:id="223" w:name="_Toc28034"/>
      <w:bookmarkStart w:id="224" w:name="_Toc3789"/>
      <w:bookmarkStart w:id="225" w:name="_Toc17738"/>
      <w:bookmarkStart w:id="226" w:name="_Toc29306"/>
      <w:bookmarkStart w:id="227" w:name="_Toc13595"/>
      <w:bookmarkStart w:id="228" w:name="_Toc6627"/>
      <w:bookmarkStart w:id="229" w:name="_Toc19771"/>
      <w:bookmarkStart w:id="230" w:name="_Toc8898"/>
      <w:bookmarkStart w:id="231" w:name="_Toc133074892"/>
      <w:bookmarkStart w:id="232" w:name="_Toc8513"/>
      <w:bookmarkStart w:id="233" w:name="_Toc7732"/>
      <w:bookmarkStart w:id="234" w:name="_Toc2813"/>
      <w:bookmarkStart w:id="235" w:name="_Toc29642"/>
      <w:bookmarkStart w:id="236" w:name="_Toc9176"/>
      <w:bookmarkStart w:id="237" w:name="_Toc9160"/>
      <w:bookmarkStart w:id="238" w:name="_Toc32736"/>
      <w:bookmarkStart w:id="239" w:name="_Toc26492"/>
      <w:bookmarkStart w:id="240" w:name="_Toc30766"/>
      <w:bookmarkStart w:id="241" w:name="_Toc18554"/>
      <w:r>
        <w:rPr>
          <w:rFonts w:hint="default" w:ascii="Times New Roman" w:hAnsi="Times New Roman" w:cs="Times New Roman"/>
          <w:color w:val="000000" w:themeColor="text1"/>
          <w:sz w:val="28"/>
          <w:szCs w:val="28"/>
          <w:lang w:val="en-US" w:eastAsia="zh-CN"/>
          <w14:textFill>
            <w14:solidFill>
              <w14:schemeClr w14:val="tx1"/>
            </w14:solidFill>
          </w14:textFill>
        </w:rPr>
        <w:t>5</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运行实施</w:t>
      </w:r>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42" w:name="_Toc2915"/>
      <w:bookmarkStart w:id="243" w:name="_Toc31833"/>
      <w:bookmarkStart w:id="244" w:name="_Toc4668"/>
      <w:bookmarkStart w:id="245" w:name="_Toc10542"/>
      <w:bookmarkStart w:id="246" w:name="_Toc10392"/>
      <w:bookmarkStart w:id="247" w:name="_Toc8610"/>
      <w:bookmarkStart w:id="248" w:name="_Toc10772"/>
      <w:bookmarkStart w:id="249" w:name="_Toc10528"/>
      <w:bookmarkStart w:id="250" w:name="_Toc28820"/>
      <w:bookmarkStart w:id="251" w:name="_Toc18109"/>
      <w:bookmarkStart w:id="252" w:name="_Toc5660"/>
      <w:bookmarkStart w:id="253" w:name="_Toc7308"/>
      <w:bookmarkStart w:id="254" w:name="_Toc9099"/>
      <w:bookmarkStart w:id="255" w:name="_Toc26826"/>
      <w:bookmarkStart w:id="256" w:name="_Toc17848"/>
      <w:bookmarkStart w:id="257" w:name="_Toc12944"/>
      <w:bookmarkStart w:id="258" w:name="_Toc14028"/>
      <w:bookmarkStart w:id="259" w:name="_Toc11127"/>
      <w:bookmarkStart w:id="260" w:name="_Toc18914"/>
      <w:bookmarkStart w:id="261" w:name="_Toc6267"/>
      <w:bookmarkStart w:id="262" w:name="_Toc26956"/>
      <w:bookmarkStart w:id="263" w:name="_Toc22716"/>
      <w:bookmarkStart w:id="264" w:name="_Toc6531"/>
      <w:bookmarkStart w:id="265" w:name="_Toc133074893"/>
      <w:bookmarkStart w:id="266" w:name="_Toc10778"/>
      <w:bookmarkStart w:id="267" w:name="_Toc23836"/>
      <w:r>
        <w:rPr>
          <w:rFonts w:hint="default" w:ascii="Times New Roman" w:hAnsi="Times New Roman" w:cs="Times New Roman"/>
          <w:color w:val="000000" w:themeColor="text1"/>
          <w:sz w:val="28"/>
          <w:szCs w:val="28"/>
          <w:lang w:val="en-US" w:eastAsia="zh-CN"/>
          <w14:textFill>
            <w14:solidFill>
              <w14:schemeClr w14:val="tx1"/>
            </w14:solidFill>
          </w14:textFill>
        </w:rPr>
        <w:t>5.1</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制定安全生产管理制度和操作规程</w:t>
      </w:r>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5.1.1法规标准识别</w:t>
      </w:r>
    </w:p>
    <w:p>
      <w:pPr>
        <w:pStyle w:val="11"/>
        <w:shd w:val="clear" w:color="auto" w:fill="auto"/>
        <w:tabs>
          <w:tab w:val="left" w:leader="dot" w:pos="3383"/>
        </w:tabs>
        <w:spacing w:before="0" w:line="360" w:lineRule="auto"/>
        <w:ind w:firstLine="420" w:firstLineChars="200"/>
        <w:jc w:val="both"/>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识别、获取和更新适用安全生产法律法规、标准规章及其他要求的制度或机制；安全生产管理机构或安全生产管理人员应明确获取渠道、获取方式和更新频次，及时识别和获取适用的安全生产法律法规、标准规章</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安全生产管理机构或安全生产管理人员应将适用的安全生产法律法规、标准规章及其他要求及时传达给从业人员。</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测绘单位应遵守安全生产法律法规、标准规章，并将相关要求及时转化为本单位安全生产管理制度并贯彻落实到安全生产各项工作中。</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5.1.2管理制度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测绘单位应建立健全安全生产管理制度(见附录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C</w:t>
      </w:r>
      <w:r>
        <w:rPr>
          <w:rFonts w:hint="default" w:ascii="Times New Roman" w:hAnsi="Times New Roman" w:eastAsia="宋体" w:cs="Times New Roman"/>
          <w:color w:val="000000" w:themeColor="text1"/>
          <w:sz w:val="21"/>
          <w:szCs w:val="21"/>
          <w14:textFill>
            <w14:solidFill>
              <w14:schemeClr w14:val="tx1"/>
            </w14:solidFill>
          </w14:textFill>
        </w:rPr>
        <w:t>)，并将最新有效版本的安全生产管理制度发放到相关（部门）项目、工作岗位、从业人员等，让其学习、知会并执行。</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5.1.3安全操作规程</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安全生产管理机构或安全生产管理人员应根据本单位的特点，组织相关人员编制本单位安全操作规程和作业指导书，并报本单位主要负责人审批后执行。</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5.1.4评估</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测绘单位应每年至少组织一次对安全生产法律法规、标准规范、安全操作规程等的执行情况进行检查、考核、评估。</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5.1.5修订</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生产管理机构或安全生产管理人员应根据对安全生产法律法规、标准规范、安全操作规程执行评估情况，安全检查反馈的问题，行业生产安全事故案例，绩效评定结果等，及时组织相关人员或第三方技术服务机构对安全生产管理制度、安全操作规程进行修订，确保其有效和适用，同时保证每个岗位所使用的为最新有效版本，并对失效版本的制度、规程进行标识、回收和归档。</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68" w:name="_Toc24566"/>
      <w:bookmarkStart w:id="269" w:name="_Toc15835"/>
      <w:bookmarkStart w:id="270" w:name="_Toc3392"/>
      <w:bookmarkStart w:id="271" w:name="_Toc24807"/>
      <w:bookmarkStart w:id="272" w:name="_Toc13795"/>
      <w:bookmarkStart w:id="273" w:name="_Toc1443"/>
      <w:bookmarkStart w:id="274" w:name="_Toc20949"/>
      <w:bookmarkStart w:id="275" w:name="_Toc32173"/>
      <w:bookmarkStart w:id="276" w:name="_Toc1219"/>
      <w:bookmarkStart w:id="277" w:name="_Toc8563"/>
      <w:bookmarkStart w:id="278" w:name="_Toc1625"/>
      <w:bookmarkStart w:id="279" w:name="_Toc25845"/>
      <w:bookmarkStart w:id="280" w:name="_Toc21978"/>
      <w:bookmarkStart w:id="281" w:name="_Toc19143"/>
      <w:bookmarkStart w:id="282" w:name="_Toc7321"/>
      <w:bookmarkStart w:id="283" w:name="_Toc10816"/>
      <w:r>
        <w:rPr>
          <w:rFonts w:hint="default" w:ascii="Times New Roman" w:hAnsi="Times New Roman" w:cs="Times New Roman"/>
          <w:color w:val="000000" w:themeColor="text1"/>
          <w:sz w:val="28"/>
          <w:szCs w:val="28"/>
          <w:lang w:val="en-US" w:eastAsia="zh-CN"/>
          <w14:textFill>
            <w14:solidFill>
              <w14:schemeClr w14:val="tx1"/>
            </w14:solidFill>
          </w14:textFill>
        </w:rPr>
        <w:t>5.2</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落实全员安全生产责任制</w:t>
      </w:r>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测绘单位的主要负责人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对本单位安全生产工作全面负责。</w:t>
      </w:r>
      <w:r>
        <w:rPr>
          <w:rFonts w:hint="default" w:ascii="Times New Roman" w:hAnsi="Times New Roman" w:eastAsia="宋体" w:cs="Times New Roman"/>
          <w:color w:val="000000" w:themeColor="text1"/>
          <w:sz w:val="21"/>
          <w:szCs w:val="21"/>
          <w14:textFill>
            <w14:solidFill>
              <w14:schemeClr w14:val="tx1"/>
            </w14:solidFill>
          </w14:textFill>
        </w:rPr>
        <w:t>建立、健全本单位从主要负责人至班组作业人员的全员安全生产责任制，做到横向到边、纵向到底，明确相关部门（项目）及人员安全生产职责，签订《安全生产责任书》（见附录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D</w:t>
      </w:r>
      <w:r>
        <w:rPr>
          <w:rFonts w:hint="default" w:ascii="Times New Roman" w:hAnsi="Times New Roman" w:eastAsia="宋体" w:cs="Times New Roman"/>
          <w:color w:val="000000" w:themeColor="text1"/>
          <w:sz w:val="21"/>
          <w:szCs w:val="21"/>
          <w14:textFill>
            <w14:solidFill>
              <w14:schemeClr w14:val="tx1"/>
            </w14:solidFill>
          </w14:textFill>
        </w:rPr>
        <w:t>），公示全员安全生产责任制等（公示内容包括：所有层级、所有岗位的安全生产责任、责任范围、考核标准）。</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284" w:name="_Toc8869"/>
      <w:bookmarkStart w:id="285" w:name="_Toc22833"/>
      <w:bookmarkStart w:id="286" w:name="_Toc25130"/>
      <w:bookmarkStart w:id="287" w:name="_Toc17422"/>
      <w:bookmarkStart w:id="288" w:name="_Toc28602"/>
      <w:bookmarkStart w:id="289" w:name="_Toc24268"/>
      <w:bookmarkStart w:id="290" w:name="_Toc14935"/>
      <w:bookmarkStart w:id="291" w:name="_Toc14344"/>
      <w:bookmarkStart w:id="292" w:name="_Toc18071"/>
      <w:bookmarkStart w:id="293" w:name="_Toc17935"/>
      <w:bookmarkStart w:id="294" w:name="_Toc5149"/>
      <w:bookmarkStart w:id="295" w:name="_Toc27926"/>
      <w:bookmarkStart w:id="296" w:name="_Toc13526"/>
      <w:bookmarkStart w:id="297" w:name="_Toc28188"/>
      <w:bookmarkStart w:id="298" w:name="_Toc3013"/>
      <w:bookmarkStart w:id="299" w:name="_Toc32558"/>
      <w:bookmarkStart w:id="300" w:name="_Toc2189"/>
      <w:bookmarkStart w:id="301" w:name="_Toc11932"/>
      <w:bookmarkStart w:id="302" w:name="_Toc6832"/>
      <w:bookmarkStart w:id="303" w:name="_Toc3776"/>
      <w:bookmarkStart w:id="304" w:name="_Toc23703"/>
      <w:bookmarkStart w:id="305" w:name="_Toc11080"/>
      <w:bookmarkStart w:id="306" w:name="_Toc133074894"/>
      <w:bookmarkStart w:id="307" w:name="_Toc26965"/>
      <w:bookmarkStart w:id="308" w:name="_Toc9376"/>
      <w:bookmarkStart w:id="309" w:name="_Toc17326"/>
      <w:r>
        <w:rPr>
          <w:rFonts w:hint="default" w:ascii="Times New Roman" w:hAnsi="Times New Roman" w:cs="Times New Roman"/>
          <w:color w:val="000000" w:themeColor="text1"/>
          <w:sz w:val="28"/>
          <w:szCs w:val="28"/>
          <w:lang w:val="en-US" w:eastAsia="zh-CN"/>
          <w14:textFill>
            <w14:solidFill>
              <w14:schemeClr w14:val="tx1"/>
            </w14:solidFill>
          </w14:textFill>
        </w:rPr>
        <w:t>5.3</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开展安全生产教育培训</w:t>
      </w:r>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5.3.1教育培训管理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明确安全生产教育和培训管理部门，按安全生产法规、标准规定及本单位岗位的需要，定期识别安全生产教育和培训内容，建立安全生产教育和培训常态化机制。把安全生产基础知识、三级安全生产教育、应急救援处置、职业安全健康等内容纳入本单位从业人员安全生产教育培训内容，把主要负责人、安全生产管理人员、从业人员、劳务派遣人员、实习学生等纳入本单位安全生产教育培训计划。</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测绘单位应当建立员工安全生产教育和培训档案（见附录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E</w:t>
      </w:r>
      <w:r>
        <w:rPr>
          <w:rFonts w:hint="default" w:ascii="Times New Roman" w:hAnsi="Times New Roman" w:eastAsia="宋体" w:cs="Times New Roman"/>
          <w:color w:val="000000" w:themeColor="text1"/>
          <w:sz w:val="21"/>
          <w:szCs w:val="21"/>
          <w14:textFill>
            <w14:solidFill>
              <w14:schemeClr w14:val="tx1"/>
            </w14:solidFill>
          </w14:textFill>
        </w:rPr>
        <w:t>)，如实记录安全生产教育和培训的时间、内容、参加人员及考核结果等情况。</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5.3.2三级安全教育培训</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新入职员工要严格落实安全生产教育培训制度，切实做到先培训、后上岗，严格执行单位、部门、班组三级安全生产教育和培训，并做好相关记录并存档。</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5.3.3 全员安全生产教育培训</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全员安全生产教育培训原则上每年不少于12学时，并提供相应的资源保证。</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5.3.4主要负责人和安全生产管理人员</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测绘单位主要负责人和安全生产管理人员必须具备与本单位所从事的经营活动相适应的安全生产知识和管理能力。安全生产管理人员应进行安全生产知识和管理能力的考核，考核合格后方可任职。</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5.3.5生产作业人员</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对操作岗位人员进行安全生产教育和测绘安全技能培训，使其熟悉有关的安全生产规章制度和安全操作技能，并确认其能力符合岗位要求。未经安全生产教育和培训，或培训考核不合格的从业人员，不得上岗作业。</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5.3.6 转岗、离岗作业人员</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转岗、离岗一年以上重新上岗者，应进行部门、班组级安全生产教育和培训，经考核合格后，方可上岗作业。</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5.3.7劳务派遣人员</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如有劳务派遣人员则应建立劳务派遣人员安全管理制度，应将被派遣劳动人员纳入本单位从业人员统一管理，对被派遣劳动人员进行安全管理制度和岗位安全操作技能的教育和培训。测绘单位接收学生实习的，应当对实习学生进行相应的安全生产教育和培训，并提供必要的劳动防护用品。</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310" w:name="_Toc7644"/>
      <w:bookmarkStart w:id="311" w:name="_Toc28901"/>
      <w:bookmarkStart w:id="312" w:name="_Toc7567"/>
      <w:bookmarkStart w:id="313" w:name="_Toc12541"/>
      <w:bookmarkStart w:id="314" w:name="_Toc11692"/>
      <w:bookmarkStart w:id="315" w:name="_Toc22218"/>
      <w:bookmarkStart w:id="316" w:name="_Toc30232"/>
      <w:bookmarkStart w:id="317" w:name="_Toc4579"/>
      <w:bookmarkStart w:id="318" w:name="_Toc8792"/>
      <w:bookmarkStart w:id="319" w:name="_Toc9974"/>
      <w:bookmarkStart w:id="320" w:name="_Toc22463"/>
      <w:bookmarkStart w:id="321" w:name="_Toc133074895"/>
      <w:bookmarkStart w:id="322" w:name="_Toc2820"/>
      <w:bookmarkStart w:id="323" w:name="_Toc988"/>
      <w:bookmarkStart w:id="324" w:name="_Toc8641"/>
      <w:bookmarkStart w:id="325" w:name="_Toc2240"/>
      <w:bookmarkStart w:id="326" w:name="_Toc12558"/>
      <w:bookmarkStart w:id="327" w:name="_Toc13415"/>
      <w:bookmarkStart w:id="328" w:name="_Toc20801"/>
      <w:bookmarkStart w:id="329" w:name="_Toc18159"/>
      <w:bookmarkStart w:id="330" w:name="_Toc24130"/>
      <w:bookmarkStart w:id="331" w:name="_Toc4311"/>
      <w:bookmarkStart w:id="332" w:name="_Toc8738"/>
      <w:bookmarkStart w:id="333" w:name="_Toc7925"/>
      <w:bookmarkStart w:id="334" w:name="_Toc28637"/>
      <w:bookmarkStart w:id="335" w:name="_Toc16190"/>
      <w:r>
        <w:rPr>
          <w:rFonts w:hint="default" w:ascii="Times New Roman" w:hAnsi="Times New Roman" w:cs="Times New Roman"/>
          <w:color w:val="000000" w:themeColor="text1"/>
          <w:sz w:val="28"/>
          <w:szCs w:val="28"/>
          <w:lang w:val="en-US" w:eastAsia="zh-CN"/>
          <w14:textFill>
            <w14:solidFill>
              <w14:schemeClr w14:val="tx1"/>
            </w14:solidFill>
          </w14:textFill>
        </w:rPr>
        <w:t>5.4</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实施作业现场安全管理</w:t>
      </w:r>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 外业作业安全管理</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5.4.1.1外业作业前管理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开展外业作业时，应根据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w:t>
      </w:r>
      <w:r>
        <w:rPr>
          <w:rFonts w:hint="default" w:ascii="Times New Roman" w:hAnsi="Times New Roman" w:eastAsia="宋体" w:cs="Times New Roman"/>
          <w:color w:val="000000" w:themeColor="text1"/>
          <w:sz w:val="21"/>
          <w:szCs w:val="21"/>
          <w14:textFill>
            <w14:solidFill>
              <w14:schemeClr w14:val="tx1"/>
            </w14:solidFill>
          </w14:textFill>
        </w:rPr>
        <w:t>作业通用安全要求和</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w:t>
      </w:r>
      <w:r>
        <w:rPr>
          <w:rFonts w:hint="default" w:ascii="Times New Roman" w:hAnsi="Times New Roman" w:eastAsia="宋体" w:cs="Times New Roman"/>
          <w:color w:val="000000" w:themeColor="text1"/>
          <w:sz w:val="21"/>
          <w:szCs w:val="21"/>
          <w14:textFill>
            <w14:solidFill>
              <w14:schemeClr w14:val="tx1"/>
            </w14:solidFill>
          </w14:textFill>
        </w:rPr>
        <w:t>作业分类安全要求（见附录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F</w:t>
      </w:r>
      <w:r>
        <w:rPr>
          <w:rFonts w:hint="default" w:ascii="Times New Roman" w:hAnsi="Times New Roman" w:eastAsia="宋体" w:cs="Times New Roman"/>
          <w:color w:val="000000" w:themeColor="text1"/>
          <w:sz w:val="21"/>
          <w:szCs w:val="21"/>
          <w14:textFill>
            <w14:solidFill>
              <w14:schemeClr w14:val="tx1"/>
            </w14:solidFill>
          </w14:textFill>
        </w:rPr>
        <w:t>、附录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G</w:t>
      </w:r>
      <w:r>
        <w:rPr>
          <w:rFonts w:hint="default" w:ascii="Times New Roman" w:hAnsi="Times New Roman" w:eastAsia="宋体" w:cs="Times New Roman"/>
          <w:color w:val="000000" w:themeColor="text1"/>
          <w:sz w:val="21"/>
          <w:szCs w:val="21"/>
          <w14:textFill>
            <w14:solidFill>
              <w14:schemeClr w14:val="tx1"/>
            </w14:solidFill>
          </w14:textFill>
        </w:rPr>
        <w:t>）做好安全管理工作，明确安全生产责任人，并在出测前做好相关准备工作：填写审批《项目安全生产备案表（开工单）》（见附录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H</w:t>
      </w:r>
      <w:r>
        <w:rPr>
          <w:rFonts w:hint="default" w:ascii="Times New Roman" w:hAnsi="Times New Roman" w:eastAsia="宋体" w:cs="Times New Roman"/>
          <w:color w:val="000000" w:themeColor="text1"/>
          <w:sz w:val="21"/>
          <w:szCs w:val="21"/>
          <w14:textFill>
            <w14:solidFill>
              <w14:schemeClr w14:val="tx1"/>
            </w14:solidFill>
          </w14:textFill>
        </w:rPr>
        <w:t>)、掌握人员健康情况、按规定配发劳动防护用品用具、进行出测前安全生产教育、做好测区安全风险评估并确定好具体的安全措施、组织赴疫区和有可能散发有毒有害气体地区作业人员学习防疫和防毒害知识等，确保出测作业人员的安全。</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野外测绘作业须两人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及以上</w:t>
      </w:r>
      <w:r>
        <w:rPr>
          <w:rFonts w:hint="default" w:ascii="Times New Roman" w:hAnsi="Times New Roman" w:eastAsia="宋体" w:cs="Times New Roman"/>
          <w:color w:val="000000" w:themeColor="text1"/>
          <w:sz w:val="21"/>
          <w:szCs w:val="21"/>
          <w14:textFill>
            <w14:solidFill>
              <w14:schemeClr w14:val="tx1"/>
            </w14:solidFill>
          </w14:textFill>
        </w:rPr>
        <w:t>作业。</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5.4.1.2 环境和作业条件确认</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作业人员，应根据出测地区（区域）的自然、地理、作业空间、天气、作业距离等条件要求进行作业环境的安全确认和身体健康的检查，不符合环境安全和身体健康的，禁止从事测绘作业活动，并明确如下事项内容：</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一）测绘项目可能涉及有限空间作业、地下管线及井口周边测量，或者进入七类重点行业作业区域的，应在作业前完成风险确认、作业审批、现场警戒、通风检测、专人监护、交通防护和应急准备；虽不进入井下空间但需开启井盖、接近井口或道路占道作业的，也应落实防坠落、防中毒窒息和交通警示措施。</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（二）对可能涉水、登高等危险性较大的测绘项目需制定具体的安全措施方案。</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三）测绘航空摄影、海洋测绘等高危测绘项目，必须制定专项安全措施方案。测绘航空摄影和无人机测量作业前应给作业人员购买人身意外伤害险、设备险及第三者责任险；作业人员须持证上岗，完成实名登记，并通过“民用无人驾驶航空器综合管理平台（UOM）”依法查询适飞空域、核查管制空域和飞行活动申请要求，重点确认真高限制、人口密集区域、机场净空保护区、起降场地、应急迫降点、气象条件和通信链路。涉及非适飞空域、超出适用豁免条件、真高超过规定限制或者与有人驾驶航空器活动存在交叉风险的，应依法办理飞行活动申请并采取专项管控措施</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严格执行空域申请与许可管理，按预定航线开展作业，全程实现飞行轨迹有效追踪。海洋测绘作业须强化极端天气预警防范，严格按照方案落实人员、设备及船舶安全保障措施。</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（四）对人员密集场所、高危地区、应急测绘、境外测绘等进行安全风险管控。</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（五）对一些重大重点的测绘工程项目，应制定专项安全措施方案。</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5.4.1.3作业人员行为管理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xml:space="preserve"> 测绘单位应依法合理进行生产作业组织和管理，加强对从业人员作业行为的安全管理，对设备设施、作业环境等进行安全风险辨识，采取相应的措施，控制作业行为安全风险。</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测绘单位应监督、指导、检查外业作业人员遵守安全生产和职业卫生规章制度，操作规程等行为，杜绝违章指挥、违规作业、违反劳动纪律的“三违”行为。</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测绘单位应为外业作业人员配备符合《个体防护装备配备规范 第1部分：总则》（GB 39800.1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-2020</w:t>
      </w:r>
      <w:r>
        <w:rPr>
          <w:rFonts w:hint="default" w:ascii="Times New Roman" w:hAnsi="Times New Roman" w:eastAsia="宋体" w:cs="Times New Roman"/>
          <w:color w:val="000000" w:themeColor="text1"/>
          <w:sz w:val="21"/>
          <w:szCs w:val="21"/>
          <w14:textFill>
            <w14:solidFill>
              <w14:schemeClr w14:val="tx1"/>
            </w14:solidFill>
          </w14:textFill>
        </w:rPr>
        <w:t>）并与岗位安全风险相适应的个体防护装备与用品，并在作业过程中监督、指导、检查外业作业人员是否按照规定正确佩戴、使用、维护、保养和检查个体防护装备用品，确保安全作业。</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测绘项目实施前应进行安全技术交底，填写《技术和安全交底清单》（见附录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I</w:t>
      </w:r>
      <w:r>
        <w:rPr>
          <w:rFonts w:hint="default" w:ascii="Times New Roman" w:hAnsi="Times New Roman" w:eastAsia="宋体" w:cs="Times New Roman"/>
          <w:color w:val="000000" w:themeColor="text1"/>
          <w:sz w:val="21"/>
          <w:szCs w:val="21"/>
          <w14:textFill>
            <w14:solidFill>
              <w14:schemeClr w14:val="tx1"/>
            </w14:solidFill>
          </w14:textFill>
        </w:rPr>
        <w:t>），对测绘项目进行安全风险管控，并组织开展安全风险管控培训，提高测绘作业人员安全风险意识和管控能力。</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5.4.1.4 住宿安全管理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作业期间应尽量选择就近宾馆入住，如无宾馆、可选择安全可靠的民宿入住，住宿期间应注意用电、用气安全。野外宿营时，应根据地形和历年山洪情况，选择干燥避风处，避开觇标、枯树、独立岩石和输电设备及线路等，严禁在山顶、河床、狭谷、悬崖绝壁等容易发生雷击、山洪和崩陷危险的地带搭设帐篷。搭设帐篷应做好防雷、防毒蛇、毒虫咬伤等安全措施。</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5.4.1.5 交通安全管理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驾驶员应持证并遵守《中华人民共和国道路交通安全法》等有关法律、法规、安全操作规程和安全运行的各种要求，具备野外环境下驾驶车辆的技能，掌握保养和维修的基本知识和技能。经常性开展交通安全教育培训，并做好记录。对外出作业车辆、出车前应进行安全检查，并做好记录，明确行驶路径等。野外作业时，应对行驶路径进行安全风险分析，提出合理、安全出行方案。</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5.4.1.6开展作业安全达标考核</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测绘单位应建立健全外业作业安全生产管理制度，开展外业作业安全达标考核活动，明确安全达标的内容和要求。</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外业作业人员应熟练掌握本岗位安全职责</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安全生产和职业卫生要求</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安全风险管控措施，测绘设备仪器、防护用品的使用，明确应急处置措施，提升自救互救能力。</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外业作业班组应按照有关规定开展安全生产和职业卫生安全教育、培训，安全技能训练、岗位作业危险预知、作业现场隐患排查、事故分析等工作，并做好相关记录和存档工作。</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5.4.1.7 相关方进行管理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相关方安全管理制度，将相关方安全生产与职业卫生工作纳入本单位统一管控范畴。建立相关方准入审查、过程评价及退出机制，严格开展相关方资格预审，从安全条件、人员资质、设备状况、历史事故及履约记录等方面进行准入审查；严禁将测绘项目发包给不具备安全生产条件及相应资质的单位或个人。</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须与相关方签订安全生产管理协议，对其安全生产工作实施统一协调、监督管理，常态化开展现场安全巡查与作业过程监督、指导及检查。相关方现场排查发现的安全隐患，统一纳入本单位隐患清单，明确整改责任、整改期限及复查要求，实行问题整改与复查闭环管理；对存在严重违章、拒不落实隐患整改，或不再具备安全生产条件的相关方，应暂停合作或依法予以清退。</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5.4.2内业作业安全管理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内业作业场所内应定期开展消防安全、电气安全、燃气安全、仪器设备使用的电池存放与充放电安全、电动车停放与充电安全等安全管理工作，按规定设置场所内的安全（警示）标志、安全风险告知卡和紧急疏散示意图，并对标志、卡、图进行定期检查，保证标志、卡、图完好清晰。基础设施、电气配电线路、用电设施、燃气管道等检维修时，应设专人现场监护，确保安全作业。禁止携带易燃易爆物品进入内业作业场所。高层办公、机房、资料档案库房、仪器设备库房等场所应明确产权人、使用人、物业服务人和消防统一管理人的责任边界，按规定保持疏散通道、安全出口、避难层（间）和管道井等部位符合消防要求；严禁电动自行车、电动摩托车及其电池进入高层建筑电梯轿厢，或者在公共门厅、疏散通道、安全出口、楼梯间及其他不符合消防安全条件的室内场所停放、充电；鼓励有条件的场所接入智慧消防、用电监测或消防安全管理平台。</w:t>
      </w:r>
    </w:p>
    <w:p>
      <w:pPr>
        <w:pStyle w:val="11"/>
        <w:shd w:val="clear" w:color="auto" w:fill="auto"/>
        <w:tabs>
          <w:tab w:val="left" w:leader="dot" w:pos="3383"/>
        </w:tabs>
        <w:spacing w:before="0" w:line="360" w:lineRule="auto"/>
        <w:ind w:firstLine="420" w:firstLineChars="200"/>
        <w:jc w:val="both"/>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办公场所不得形成住宿与生产、储存、经营混合设置且未有效防火分隔的“三合一”场所；确涉及既有场所的，应依法整改并消除住宿混设风险</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336" w:name="_Toc19652"/>
      <w:bookmarkStart w:id="337" w:name="_Toc1358"/>
      <w:bookmarkStart w:id="338" w:name="_Toc3866"/>
      <w:bookmarkStart w:id="339" w:name="_Toc27325"/>
      <w:bookmarkStart w:id="340" w:name="_Toc22322"/>
      <w:bookmarkStart w:id="341" w:name="_Toc10080"/>
      <w:bookmarkStart w:id="342" w:name="_Toc15640"/>
      <w:bookmarkStart w:id="343" w:name="_Toc11644"/>
      <w:bookmarkStart w:id="344" w:name="_Toc133074896"/>
      <w:bookmarkStart w:id="345" w:name="_Toc16348"/>
      <w:bookmarkStart w:id="346" w:name="_Toc24461"/>
      <w:bookmarkStart w:id="347" w:name="_Toc10614"/>
      <w:bookmarkStart w:id="348" w:name="_Toc9468"/>
      <w:bookmarkStart w:id="349" w:name="_Toc31735"/>
      <w:bookmarkStart w:id="350" w:name="_Toc24645"/>
      <w:bookmarkStart w:id="351" w:name="_Toc12047"/>
      <w:bookmarkStart w:id="352" w:name="_Toc22155"/>
      <w:bookmarkStart w:id="353" w:name="_Toc2855"/>
      <w:bookmarkStart w:id="354" w:name="_Toc23213"/>
      <w:bookmarkStart w:id="355" w:name="_Toc10489"/>
      <w:bookmarkStart w:id="356" w:name="_Toc32359"/>
      <w:bookmarkStart w:id="357" w:name="_Toc29375"/>
      <w:bookmarkStart w:id="358" w:name="_Toc5697"/>
      <w:bookmarkStart w:id="359" w:name="_Toc6439"/>
      <w:bookmarkStart w:id="360" w:name="_Toc21296"/>
      <w:bookmarkStart w:id="361" w:name="_Toc9636"/>
      <w:r>
        <w:rPr>
          <w:rFonts w:hint="default" w:ascii="Times New Roman" w:hAnsi="Times New Roman" w:cs="Times New Roman"/>
          <w:color w:val="000000" w:themeColor="text1"/>
          <w:sz w:val="28"/>
          <w:szCs w:val="28"/>
          <w:lang w:val="en-US" w:eastAsia="zh-CN"/>
          <w14:textFill>
            <w14:solidFill>
              <w14:schemeClr w14:val="tx1"/>
            </w14:solidFill>
          </w14:textFill>
        </w:rPr>
        <w:t>5.5</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健全仪器设备安全管理</w:t>
      </w:r>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测绘单位应建立健全仪器设备安全管理制度，建立完善仪器设备安全台账，制定仪器设备安全检验计划，加强日常检查、保养、维护、管理，并做好相关记录。</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5.5.1仪器设备安全使用</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仪器设备的使用必须按照安全操作规程的要求进行操作使用，应定期检查、检验、维护的仪器设备必须按规定进行检查、检验和维护，做好相关记录。</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需要用电池供电的仪器设备，应建立电池采购验收、编号登记、充电使用、运输存放、异常处置和报废回收等管理记录。电池充电时，内业固定场所应放置充电防护箱（柜）进行充电，箱口上方泄压孔位置及箱体侧边通风口位置，不能放杂物、不能放易燃易爆物品等；外业临时驻地使用防火充电垫或充电箱，远离易燃物、专人看管，不长期离人充电。外业运输时应采取防短路、防挤压、防暴晒措施。发现电池鼓包、漏液、异常发热、外壳破损或者达到单位报废要求的，应立即停止使用并按规定处置。仪器设备不使用时，应将电池和仪器设备分开存放，存放的库房应符合《建筑防火通用规范》（GB 55037-2022）的相关要求。</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5.5.2仪器设备报废</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对多年不用或已经损坏并无修复价值的仪器设备应设立停用标识并向设备主管部门负责人通报，经相关部门确认后，按报废仪器设备程序进行报废处理。</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362" w:name="_Toc5077"/>
      <w:bookmarkStart w:id="363" w:name="_Toc24269"/>
      <w:bookmarkStart w:id="364" w:name="_Toc8234"/>
      <w:bookmarkStart w:id="365" w:name="_Toc14369"/>
      <w:bookmarkStart w:id="366" w:name="_Toc21010"/>
      <w:bookmarkStart w:id="367" w:name="_Toc13157"/>
      <w:bookmarkStart w:id="368" w:name="_Toc17623"/>
      <w:bookmarkStart w:id="369" w:name="_Toc24385"/>
      <w:bookmarkStart w:id="370" w:name="_Toc26278"/>
      <w:bookmarkStart w:id="371" w:name="_Toc22105"/>
      <w:bookmarkStart w:id="372" w:name="_Toc29218"/>
      <w:bookmarkStart w:id="373" w:name="_Toc20330"/>
      <w:bookmarkStart w:id="374" w:name="_Toc10880"/>
      <w:bookmarkStart w:id="375" w:name="_Toc23566"/>
      <w:bookmarkStart w:id="376" w:name="_Toc19766"/>
      <w:bookmarkStart w:id="377" w:name="_Toc3071"/>
      <w:bookmarkStart w:id="378" w:name="_Toc10383"/>
      <w:r>
        <w:rPr>
          <w:rFonts w:hint="default" w:ascii="Times New Roman" w:hAnsi="Times New Roman" w:cs="Times New Roman"/>
          <w:color w:val="000000" w:themeColor="text1"/>
          <w:sz w:val="28"/>
          <w:szCs w:val="28"/>
          <w:lang w:val="en-US" w:eastAsia="zh-CN"/>
          <w14:textFill>
            <w14:solidFill>
              <w14:schemeClr w14:val="tx1"/>
            </w14:solidFill>
          </w14:textFill>
        </w:rPr>
        <w:t>5.6</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开展安全风险管控与隐患排查治理</w:t>
      </w:r>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管控与隐患排查治理应按照“风险点—管控措施—隐患判定—整改闭环”的逻辑衔接。隐患排查治理应以安全风险清单及其管控措施为基础开展，隐患排查清单应直接承接风险点、危险源和既定管控措施；风险管控措施未制定、未落实、落实不到位或者失效的，应判定为事故隐患，并纳入隐患治理闭环管理。</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 开展安全风险管控</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5.6.1.1安全风险排查</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安全风险排查应基于“全面系统、动态”的原则，对风险点、危险源进行普查和识别，系统掌握风险点、危险源的种类、数量和分布状况，摸清安全风险底数（见附录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J</w:t>
      </w:r>
      <w:r>
        <w:rPr>
          <w:rFonts w:hint="default" w:ascii="Times New Roman" w:hAnsi="Times New Roman" w:eastAsia="宋体" w:cs="Times New Roman"/>
          <w:color w:val="000000" w:themeColor="text1"/>
          <w:sz w:val="21"/>
          <w:szCs w:val="21"/>
          <w14:textFill>
            <w14:solidFill>
              <w14:schemeClr w14:val="tx1"/>
            </w14:solidFill>
          </w14:textFill>
        </w:rPr>
        <w:t>）。</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5.6.1.2安全风险分析</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安全风险分析应对发生事故的可能性分析和后果严重性两部分进行分析。安全风险分析可采用定性、定量或定性定量相结合等方式进行计算和描述。</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5.6.1.3安全风险评级</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根据安全风险分析的结果，对安全风险进行评级。安全风险评级是将安全风险分析的结果对不同等级的风险按照需要关注程度进行排序的过程。安全风险评级采取风险矩阵法，风险点、危险源的风险等级分为红、橙、黄、蓝四个等级（其中“红”色代表最高安全风险等级）。</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5.6.1.4 形成安全风险排查管控清单</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根据安全风险排查、分析和评级情况形成《安全风险清单》，《安全风险清单》表中包括但不限于：安全风险名称和类别、安全风险所在位置、安全风险所属部门（项目）、主管（监管）部门（项目），安全风险等级、管控措施、责任人、检查频次、对应隐患排查事项等。</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5.6.1.5安全风险日常管控</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测绘单位是测绘安全风险管控的责任主体，应建立健全安全风险管理制度，每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半年</w:t>
      </w:r>
      <w:r>
        <w:rPr>
          <w:rFonts w:hint="default" w:ascii="Times New Roman" w:hAnsi="Times New Roman" w:eastAsia="宋体" w:cs="Times New Roman"/>
          <w:color w:val="000000" w:themeColor="text1"/>
          <w:sz w:val="21"/>
          <w:szCs w:val="21"/>
          <w14:textFill>
            <w14:solidFill>
              <w14:schemeClr w14:val="tx1"/>
            </w14:solidFill>
          </w14:textFill>
        </w:rPr>
        <w:t>至少开展</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14:textFill>
            <w14:solidFill>
              <w14:schemeClr w14:val="tx1"/>
            </w14:solidFill>
          </w14:textFill>
        </w:rPr>
        <w:t>次全面安全风险排查、分析与评级工作，重点对资料档案库房、机房、生产和生活基地、外业作业场所和办公场所及驻地等的风险点、危险源，进行排查、分析和评级，建立安全管控风险点、危险源台账。</w:t>
      </w:r>
    </w:p>
    <w:p>
      <w:pPr>
        <w:pStyle w:val="11"/>
        <w:shd w:val="clear" w:color="auto" w:fill="auto"/>
        <w:tabs>
          <w:tab w:val="left" w:leader="dot" w:pos="3383"/>
        </w:tabs>
        <w:spacing w:before="0" w:line="360" w:lineRule="auto"/>
        <w:ind w:left="365" w:leftChars="17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安全风险管理实施“分类指导、分级管控”，安全风险评估主要采用风险矩阵法等开展。</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应加强对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人员密集场所、</w:t>
      </w:r>
      <w:r>
        <w:rPr>
          <w:rFonts w:hint="default" w:ascii="Times New Roman" w:hAnsi="Times New Roman" w:eastAsia="宋体" w:cs="Times New Roman"/>
          <w:color w:val="000000" w:themeColor="text1"/>
          <w:sz w:val="21"/>
          <w:szCs w:val="21"/>
          <w14:textFill>
            <w14:solidFill>
              <w14:schemeClr w14:val="tx1"/>
            </w14:solidFill>
          </w14:textFill>
        </w:rPr>
        <w:t>高危地区测绘、</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航空摄影、</w:t>
      </w:r>
      <w:r>
        <w:rPr>
          <w:rFonts w:hint="default" w:ascii="Times New Roman" w:hAnsi="Times New Roman" w:eastAsia="宋体" w:cs="Times New Roman"/>
          <w:color w:val="000000" w:themeColor="text1"/>
          <w:sz w:val="21"/>
          <w:szCs w:val="21"/>
          <w14:textFill>
            <w14:solidFill>
              <w14:schemeClr w14:val="tx1"/>
            </w14:solidFill>
          </w14:textFill>
        </w:rPr>
        <w:t>海域测绘、应急测绘、境外测绘的安全风险管理，做到人员、装备、物资等全方位安全管控，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有条件的企业要</w:t>
      </w:r>
      <w:r>
        <w:rPr>
          <w:rFonts w:hint="default" w:ascii="Times New Roman" w:hAnsi="Times New Roman" w:eastAsia="宋体" w:cs="Times New Roman"/>
          <w:color w:val="000000" w:themeColor="text1"/>
          <w:sz w:val="21"/>
          <w:szCs w:val="21"/>
          <w14:textFill>
            <w14:solidFill>
              <w14:schemeClr w14:val="tx1"/>
            </w14:solidFill>
          </w14:textFill>
        </w:rPr>
        <w:t>充分利用科技和信息化手段，研发测绘外业作业安全生产监控系统，强化监测预警和过程监管。</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5.6.1.6安全风险变更管理</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测绘单位应当高度关注风险点、危险源变化的风险状况。出现下列情形时，应当及时调整风险等级和控制措施：</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（1）法律法规、标准规范发生变更，可能影响安全风险等级；</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（2）组织机构发生重大调整；</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（3）作业条件、作业方法、仪器设备发生变化；</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（4）本单位发生生产安全事故或相关行业领域发生重特大生产安全事故；</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（5）极端天气、重大节假日、大型活动；</w:t>
      </w:r>
    </w:p>
    <w:p>
      <w:pPr>
        <w:pStyle w:val="11"/>
        <w:numPr>
          <w:ilvl w:val="255"/>
          <w:numId w:val="0"/>
        </w:numPr>
        <w:shd w:val="clear" w:color="auto" w:fill="auto"/>
        <w:tabs>
          <w:tab w:val="left" w:leader="dot" w:pos="3383"/>
        </w:tabs>
        <w:spacing w:before="0" w:line="360" w:lineRule="auto"/>
        <w:ind w:left="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（6）其他可能影响安全风险等级或管控措施有效性的情形。</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5.6.1.7信息化建设</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宜建立安全风险分级管控信息系统或采用信息化手段强化安全管理，关联安全风险管控、隐患排查治理和应急处置信息数据，绘制外业作业安全风险分布电子地图，记录外业作业人员位置、作业轨迹和异常联络情况，对外业作业点和内业作业安全风险进行分析研判和管控。承担高危地区、应急测绘、海域测绘、境外测绘等高风险项目的单位，应结合项目风险采用必要的信息化或通信定位手段。</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5.6.1.8安全风险监测预警</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测绘单位应根据测绘项目状况、安全风险及隐患排查治理、事故等情况，运用定性定量的安全生产监测预警技术，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鼓励</w:t>
      </w:r>
      <w:r>
        <w:rPr>
          <w:rFonts w:hint="default" w:ascii="Times New Roman" w:hAnsi="Times New Roman" w:eastAsia="宋体" w:cs="Times New Roman"/>
          <w:color w:val="000000" w:themeColor="text1"/>
          <w:sz w:val="21"/>
          <w:szCs w:val="21"/>
          <w14:textFill>
            <w14:solidFill>
              <w14:schemeClr w14:val="tx1"/>
            </w14:solidFill>
          </w14:textFill>
        </w:rPr>
        <w:t>建立体现本单位安全风险状况的安全风险监测预警体系。</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5.6.2开展隐患排查治理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安全生产事故隐患排查治理长效机制、隐患排查治理制度，逐级建立并落实从主要负责人至每位从业人员的全员隐患排查治理和防控责任制，按照有关规定组织开展隐患排查治理工作，及时发现并消除隐患，实行事故隐患闭环管理（见附录K）。测绘单位应建立问题隐患清单和整改措施清单，对重大隐患、重复隐患和整改后反复出现的问题开展“回头看”，鼓励建立隐患内部报告奖励机制。</w:t>
      </w:r>
    </w:p>
    <w:p>
      <w:pPr>
        <w:pStyle w:val="11"/>
        <w:keepNext w:val="0"/>
        <w:keepLines w:val="0"/>
        <w:pageBreakBefore w:val="0"/>
        <w:widowControl/>
        <w:shd w:val="clear" w:color="auto" w:fill="auto"/>
        <w:tabs>
          <w:tab w:val="left" w:leader="dot" w:pos="3383"/>
        </w:tabs>
        <w:kinsoku/>
        <w:wordWrap/>
        <w:overflowPunct/>
        <w:topLinePunct w:val="0"/>
        <w:autoSpaceDE/>
        <w:autoSpaceDN/>
        <w:bidi w:val="0"/>
        <w:adjustRightInd/>
        <w:snapToGrid/>
        <w:spacing w:before="0" w:line="360" w:lineRule="auto"/>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5.6.2.1开展隐患排查</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有关法律法规、标准规范等规定要求，以安全风险清单及其管控措施为基础，组织制定各部门、岗位、作业场所、设备设施等隐患排查治理标准或排查清单，明确隐患排查的时限、范围、内容、频次和要求，并组织开展相应的培训。隐患排查的范围包括但不限于：与测绘作业相关的场所、人员、设备设施和作业活动、劳保措施、相关方等相关服务。</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按照规定，结合测绘行业的需要和特点，采用综合检查、专项检查、季节性检查、节假日检查、日常检查等不同方式进行隐患排查。对排查出的隐患，按照隐患的等级进行记录，建立隐患信息档案，并按照职责分工实施监控治理，组织有关专业技术人员对本单位可能存在的重大隐患做出认定，并按照规定进行严格管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测绘单位应将相关方排查出的隐患统一纳入本单位隐患管理。</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5.6.2.2隐患信息记录、通报和报送</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测绘单位应如实记录隐患排查治理情况，至少每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季度</w:t>
      </w:r>
      <w:r>
        <w:rPr>
          <w:rFonts w:hint="default" w:ascii="Times New Roman" w:hAnsi="Times New Roman" w:eastAsia="宋体" w:cs="Times New Roman"/>
          <w:color w:val="000000" w:themeColor="text1"/>
          <w:sz w:val="21"/>
          <w:szCs w:val="21"/>
          <w14:textFill>
            <w14:solidFill>
              <w14:schemeClr w14:val="tx1"/>
            </w14:solidFill>
          </w14:textFill>
        </w:rPr>
        <w:t>进行统计分析，及时将隐患排查治理情况向从业人员通报。</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测绘单位应按照行业主管部门和应急管理部门要求，定期或实时报送隐患排查治理情况；鼓励采用信息系统对隐患排查、报告、治理、销账等过程进行电子化管理和统计分析。</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5.6.2.3实施隐患治理</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测绘单位应根据隐患排查的结果，制定隐患治理方案，第一时间对隐患进行治理。</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隐患治理实行一般隐患和重大隐患的分级治理，一般隐患按照职责分工，由所在部门（项目部）或班组组织治理；重大隐患治理由主要负责人组织制定重大隐患治理方案进行治理。治理方案包括但不限于：目标和任务、方法和措施、经费和物资、机构和人员、时限和要求、应急预案及验收要求等。</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测绘单位在隐患治理过程中，应采取相应的监控防范措施，隐患排除前或排除过程无法保证安全的，应从危险区域内撤出作业人员，疏散可能危及的作业人员，设置安全警戒标志，停止相关作业。</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5.6.2.4隐患治理验收与评估</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隐患治理完成后，鼓励测绘单位按照有关规定对治理情况进行评估、验收。重大隐患治理完成后，测绘单位应组织本单位的安全生产管理人员和技术人员进行验收或委托行业协会、安全技术服务机构进行评估验收。</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379" w:name="_Toc8844"/>
      <w:bookmarkStart w:id="380" w:name="_Toc9522"/>
      <w:bookmarkStart w:id="381" w:name="_Toc2376"/>
      <w:bookmarkStart w:id="382" w:name="_Toc25466"/>
      <w:bookmarkStart w:id="383" w:name="_Toc18671"/>
      <w:bookmarkStart w:id="384" w:name="_Toc25861"/>
      <w:bookmarkStart w:id="385" w:name="_Toc7384"/>
      <w:bookmarkStart w:id="386" w:name="_Toc133074897"/>
      <w:bookmarkStart w:id="387" w:name="_Toc23222"/>
      <w:bookmarkStart w:id="388" w:name="_Toc15633"/>
      <w:bookmarkStart w:id="389" w:name="_Toc31723"/>
      <w:bookmarkStart w:id="390" w:name="_Toc21126"/>
      <w:bookmarkStart w:id="391" w:name="_Toc2402"/>
      <w:bookmarkStart w:id="392" w:name="_Toc2378"/>
      <w:bookmarkStart w:id="393" w:name="_Toc28255"/>
      <w:bookmarkStart w:id="394" w:name="_Toc5126"/>
      <w:bookmarkStart w:id="395" w:name="_Toc23005"/>
      <w:bookmarkStart w:id="396" w:name="_Toc22266"/>
      <w:bookmarkStart w:id="397" w:name="_Toc11128"/>
      <w:bookmarkStart w:id="398" w:name="_Toc7517"/>
      <w:bookmarkStart w:id="399" w:name="_Toc11153"/>
      <w:bookmarkStart w:id="400" w:name="_Toc25446"/>
      <w:bookmarkStart w:id="401" w:name="_Toc14805"/>
      <w:bookmarkStart w:id="402" w:name="_Toc32022"/>
      <w:bookmarkStart w:id="403" w:name="_Toc16621"/>
      <w:bookmarkStart w:id="404" w:name="_Toc26906"/>
      <w:r>
        <w:rPr>
          <w:rFonts w:hint="default" w:ascii="Times New Roman" w:hAnsi="Times New Roman" w:cs="Times New Roman"/>
          <w:color w:val="000000" w:themeColor="text1"/>
          <w:sz w:val="28"/>
          <w:szCs w:val="28"/>
          <w:lang w:val="en-US" w:eastAsia="zh-CN"/>
          <w14:textFill>
            <w14:solidFill>
              <w14:schemeClr w14:val="tx1"/>
            </w14:solidFill>
          </w14:textFill>
        </w:rPr>
        <w:t>5.7</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消防安全管理</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消防安全管理制度，制定消防安全管理责任清单，落实消防安全主体责任。内业作业场所应按《中华人民共和国消防法》规定配备灭火器具，组织专业人员定期开展火灾隐患排查，对查出的问题做到及时整改，并建立火灾隐患排查治理台账。资料、档案、设备库房等重点防火区域，不论面积大小，均应按规定配置灭火器具，并定期开展消防安全检查，发现问题及时整改。人员密度较大且面积大于100m</w:t>
      </w:r>
      <w:r>
        <w:rPr>
          <w:rFonts w:hint="default" w:ascii="Times New Roman" w:hAnsi="Times New Roman" w:eastAsia="宋体" w:cs="Times New Roman"/>
          <w:color w:val="000000" w:themeColor="text1"/>
          <w:sz w:val="21"/>
          <w:szCs w:val="21"/>
          <w:vertAlign w:val="superscript"/>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的内业作业场所安全出口应不少于两个。安全出口、通道、楼梯等消防通道应保持畅通并设置有明显安全出口标志和应急照明设施。</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外业作业应加强作业人员的消防安全教育培训，建立使用明火作业等危险作业审批制度，确保野外作业安全。</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405" w:name="_Toc28077"/>
      <w:bookmarkStart w:id="406" w:name="_Toc26486"/>
      <w:bookmarkStart w:id="407" w:name="_Toc26777"/>
      <w:bookmarkStart w:id="408" w:name="_Toc16027"/>
      <w:bookmarkStart w:id="409" w:name="_Toc22505"/>
      <w:bookmarkStart w:id="410" w:name="_Toc22352"/>
      <w:bookmarkStart w:id="411" w:name="_Toc2823"/>
      <w:bookmarkStart w:id="412" w:name="_Toc133074900"/>
      <w:bookmarkStart w:id="413" w:name="_Toc12764"/>
      <w:bookmarkStart w:id="414" w:name="_Toc19237"/>
      <w:bookmarkStart w:id="415" w:name="_Toc20680"/>
      <w:bookmarkStart w:id="416" w:name="_Toc9624"/>
      <w:bookmarkStart w:id="417" w:name="_Toc12203"/>
      <w:bookmarkStart w:id="418" w:name="_Toc3447"/>
      <w:bookmarkStart w:id="419" w:name="_Toc23884"/>
      <w:bookmarkStart w:id="420" w:name="_Toc4824"/>
      <w:bookmarkStart w:id="421" w:name="_Toc5281"/>
      <w:bookmarkStart w:id="422" w:name="_Toc28424"/>
      <w:bookmarkStart w:id="423" w:name="_Toc25155"/>
      <w:bookmarkStart w:id="424" w:name="_Toc31526"/>
      <w:bookmarkStart w:id="425" w:name="_Toc30590"/>
      <w:bookmarkStart w:id="426" w:name="_Toc30990"/>
      <w:bookmarkStart w:id="427" w:name="_Toc24371"/>
      <w:bookmarkStart w:id="428" w:name="_Toc10386"/>
      <w:bookmarkStart w:id="429" w:name="_Toc11843"/>
      <w:bookmarkStart w:id="430" w:name="_Toc15596"/>
      <w:r>
        <w:rPr>
          <w:rFonts w:hint="default" w:ascii="Times New Roman" w:hAnsi="Times New Roman" w:cs="Times New Roman"/>
          <w:color w:val="000000" w:themeColor="text1"/>
          <w:sz w:val="28"/>
          <w:szCs w:val="28"/>
          <w:lang w:val="en-US" w:eastAsia="zh-CN"/>
          <w14:textFill>
            <w14:solidFill>
              <w14:schemeClr w14:val="tx1"/>
            </w14:solidFill>
          </w14:textFill>
        </w:rPr>
        <w:t>5.8</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用电安全管理</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加强用电管理，制定用电安全管理制度，定期开展用电安全检查。严禁私拉乱接电线和私自使用大功率用电设备。电线、电源漏电，通风、取暖、空调、照明等用电设施要有专人管理、定期检修。严禁在作业场所非吸烟区吸烟以及使用明火，禁止超负荷用电。节假日放假期间，应关闭无人使用的电路总闸、切断电源。</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431" w:name="_Toc5100"/>
      <w:bookmarkStart w:id="432" w:name="_Toc32583"/>
      <w:bookmarkStart w:id="433" w:name="_Toc18026"/>
      <w:bookmarkStart w:id="434" w:name="_Toc9388"/>
      <w:bookmarkStart w:id="435" w:name="_Toc14239"/>
      <w:bookmarkStart w:id="436" w:name="_Toc15102"/>
      <w:bookmarkStart w:id="437" w:name="_Toc7506"/>
      <w:bookmarkStart w:id="438" w:name="_Toc30261"/>
      <w:bookmarkStart w:id="439" w:name="_Toc4125"/>
      <w:bookmarkStart w:id="440" w:name="_Toc133074902"/>
      <w:bookmarkStart w:id="441" w:name="_Toc29939"/>
      <w:bookmarkStart w:id="442" w:name="_Toc31047"/>
      <w:bookmarkStart w:id="443" w:name="_Toc11776"/>
      <w:bookmarkStart w:id="444" w:name="_Toc2370"/>
      <w:bookmarkStart w:id="445" w:name="_Toc9939"/>
      <w:bookmarkStart w:id="446" w:name="_Toc6682"/>
      <w:bookmarkStart w:id="447" w:name="_Toc30653"/>
      <w:bookmarkStart w:id="448" w:name="_Toc31984"/>
      <w:bookmarkStart w:id="449" w:name="_Toc29911"/>
      <w:bookmarkStart w:id="450" w:name="_Toc31674"/>
      <w:bookmarkStart w:id="451" w:name="_Toc28724"/>
      <w:bookmarkStart w:id="452" w:name="_Toc15569"/>
      <w:bookmarkStart w:id="453" w:name="_Toc14218"/>
      <w:bookmarkStart w:id="454" w:name="_Toc22387"/>
      <w:bookmarkStart w:id="455" w:name="_Toc28657"/>
      <w:bookmarkStart w:id="456" w:name="_Toc8926"/>
      <w:r>
        <w:rPr>
          <w:rFonts w:hint="default" w:ascii="Times New Roman" w:hAnsi="Times New Roman" w:cs="Times New Roman"/>
          <w:color w:val="000000" w:themeColor="text1"/>
          <w:sz w:val="28"/>
          <w:szCs w:val="28"/>
          <w:lang w:val="en-US" w:eastAsia="zh-CN"/>
          <w14:textFill>
            <w14:solidFill>
              <w14:schemeClr w14:val="tx1"/>
            </w14:solidFill>
          </w14:textFill>
        </w:rPr>
        <w:t>5.9</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应急管理</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5.9.1应急准备</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健全安全事故应急救援机制，制定生产安全事故应急预案，明确应急组织机构、人员职责、重点部门、应急救援措施等。外业作业班组应充分利用属地政府、社会现有安全生产应急救援队伍和物资等资源，建立应急救援协同联动机制，定期进行应急演练，提升安全生产应急救援能力。</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5.9.2应急救援组织</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测绘单位应按照有关规定建立与本单位安全生产特点相适应的专（兼）职应急救援队伍或指定专（兼）职救援人员，必要时与外业作业邻近专业应急救援队伍签订应急救援服务协议。</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5.9.3应急预案</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测绘单位应在开展安全风险评估和应急资源调查的基础上，建立生产安全事故应急预案体系，制定符合《生产经营单位生产安全事故应急预案编制导则》（GB/T 29639-2020）规定的生产安全事故应急预案，针对安全风险较大的外业环境或重点场所（设施）制定现场处置方案，并编制重点作业岗位、人员应急处置卡。</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应急预案编制完成后，应组织本单位安全管理人员、技术骨干开展内部评审，或委托专家开展评审/论证。评审或论证通过后，由单位主要负责人按规定签发实施，并报属地行业主管部门备案。</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测绘单位应按《生产经营单位生产安全事故应急预案评估指南》（</w:t>
      </w:r>
      <w:r>
        <w:rPr>
          <w:rFonts w:hint="default" w:ascii="Times New Roman" w:hAnsi="Times New Roman" w:eastAsia="宋体" w:cs="Times New Roman"/>
          <w:color w:val="000000" w:themeColor="text1"/>
          <w:sz w:val="21"/>
          <w:szCs w:val="21"/>
          <w:lang w:eastAsia="zh-CN"/>
          <w14:textFill>
            <w14:solidFill>
              <w14:schemeClr w14:val="tx1"/>
            </w14:solidFill>
          </w14:textFill>
        </w:rPr>
        <w:t>YJ</w:t>
      </w:r>
      <w:r>
        <w:rPr>
          <w:rFonts w:hint="default" w:ascii="Times New Roman" w:hAnsi="Times New Roman" w:eastAsia="宋体" w:cs="Times New Roman"/>
          <w:color w:val="000000" w:themeColor="text1"/>
          <w:sz w:val="21"/>
          <w:szCs w:val="21"/>
          <w14:textFill>
            <w14:solidFill>
              <w14:schemeClr w14:val="tx1"/>
            </w14:solidFill>
          </w14:textFill>
        </w:rPr>
        <w:t>/T 9011-2019）要求，定期开展应急预案评估，及时根据评估结果或实际情况的变化进行修订和完善，修订后按照有关规定及时报属地行业主管部门备案。</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有下列情形之一的，应当及时修订相关预案：</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（1）制定预案所依据的法律、法规、规章、标准发生重大变化；</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（2）应急指挥机构及其职责发生调整；</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（3）安全生产面临的风险发生重大变化；</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（4）重要应急资源发生重大变化；</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（5）在预案演练或者应急救援中发现需要修订预案的重大问题；</w:t>
      </w:r>
    </w:p>
    <w:p>
      <w:pPr>
        <w:pStyle w:val="11"/>
        <w:shd w:val="clear" w:color="auto" w:fill="auto"/>
        <w:tabs>
          <w:tab w:val="left" w:leader="dot" w:pos="3383"/>
        </w:tabs>
        <w:spacing w:before="0" w:line="360" w:lineRule="auto"/>
        <w:ind w:firstLine="564"/>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（6）其他应当修订的情形。</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5.9.4应急设施、装备、物资</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测绘单位应根据可能发生的事故种类特点，按照有关规定设置应急设施、配备应急装备，储备应急物资，建立管理台账，安排专人管理，并定期检查、维护、检测、保养，确保其完好、可靠。</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5.9.5应急演练</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测绘单位应当制定本单位的应急预案演练计划,根据本单位的事故风险特点,每年至少组织一次综合应急预案演练或者专项应急预案演练,每半年至少组织一次现场处置方案演练。</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外业班组应围绕交通事故、人员失联、突发疾病、极端天气、涉水遇险、无人机失控、锂电池起火等典型场景，定期开展桌面推演或岗位处置演练；项目开工前应完成一次针对本测区风险的桌面推演，并形成简要记录。</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5.9.6应急救援信息系统建设</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鼓励测绘单位根据本单位的实际需要，建立生产安全事故应急救援信息化系统，并与行业主管部门或属地应急管理部门的安全生产应急管理信息系统互联互通。</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5.9.7应急处置</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发生生产安全事故后，测绘单位应当立即启动本单位生产安全事故应急救援预案，采取下列一项或者多项应急救援措施，并按照国家有关规定报告事故情况：</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（1）迅速控制危险源，组织抢救遇险人员；</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（2）根据事故危害程度，组织现场人员撤离或者采取可能的应急措施后撤离；</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（3）及时通知可能受到事故影响的单位和人员；</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（4）采取必要措施，防止事故危害扩大和次生、衍生灾害发生；</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（5）根据需要请求邻近的应急救援队伍参加救援，并向参加救援的应急救援队伍提供相关技术资料、信息和处置方法；</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（6）维护事故现场秩序，保护事故现场和相关证据；</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（7）法律、法规规定的其他应急救援措施。</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457" w:name="_Toc22932"/>
      <w:bookmarkStart w:id="458" w:name="_Toc23145"/>
      <w:bookmarkStart w:id="459" w:name="_Toc22118"/>
      <w:bookmarkStart w:id="460" w:name="_Toc6494"/>
      <w:bookmarkStart w:id="461" w:name="_Toc8941"/>
      <w:bookmarkStart w:id="462" w:name="_Toc12340"/>
      <w:bookmarkStart w:id="463" w:name="_Toc18936"/>
      <w:bookmarkStart w:id="464" w:name="_Toc32266"/>
      <w:bookmarkStart w:id="465" w:name="_Toc13878"/>
      <w:bookmarkStart w:id="466" w:name="_Toc23977"/>
      <w:bookmarkStart w:id="467" w:name="_Toc6796"/>
      <w:bookmarkStart w:id="468" w:name="_Toc9843"/>
      <w:bookmarkStart w:id="469" w:name="_Toc7765"/>
      <w:bookmarkStart w:id="470" w:name="_Toc5960"/>
      <w:bookmarkStart w:id="471" w:name="_Toc26564"/>
      <w:bookmarkStart w:id="472" w:name="_Toc21249"/>
      <w:bookmarkStart w:id="473" w:name="_Toc22428"/>
      <w:bookmarkStart w:id="474" w:name="_Toc15529"/>
      <w:bookmarkStart w:id="475" w:name="_Toc133074903"/>
      <w:bookmarkStart w:id="476" w:name="_Toc7193"/>
      <w:bookmarkStart w:id="477" w:name="_Toc24190"/>
      <w:bookmarkStart w:id="478" w:name="_Toc13938"/>
      <w:bookmarkStart w:id="479" w:name="_Toc19938"/>
      <w:bookmarkStart w:id="480" w:name="_Toc8498"/>
      <w:bookmarkStart w:id="481" w:name="_Toc4933"/>
      <w:bookmarkStart w:id="482" w:name="_Toc30064"/>
      <w:r>
        <w:rPr>
          <w:rFonts w:hint="default" w:ascii="Times New Roman" w:hAnsi="Times New Roman" w:cs="Times New Roman"/>
          <w:color w:val="000000" w:themeColor="text1"/>
          <w:sz w:val="28"/>
          <w:szCs w:val="28"/>
          <w:lang w:val="en-US" w:eastAsia="zh-CN"/>
          <w14:textFill>
            <w14:solidFill>
              <w14:schemeClr w14:val="tx1"/>
            </w14:solidFill>
          </w14:textFill>
        </w:rPr>
        <w:t>5.10</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事故管理</w:t>
      </w:r>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5.10.1报告</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事故报告制度，事故发生后，事故现场有关人员应当立即向本单位负责人报告；单位负责人接到报告后，应当于1小时内向事故发生地县级以上人民政府应急管理部门和负有安全生产监督管理职责的行业主管部门报告。</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情况紧急时，事故现场有关人员可以直接向事故发生地县级以上人民政府应急管理部门和负有安全生产监督管理职责的行业主管部门报告。</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测绘单位应妥善保护事故现场以及相关证据，事故报告后出现新情况的，应当及时补报。</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5.10.2调查和处理</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测绘单位应建立本单位事故调查和处理制度，按照有关规定，将造成人员伤亡（轻伤、重伤、死亡等人身伤害和急性中毒）和财产损失的事故纳入事故调查和处理范畴。</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测绘单位发生事故后，应及时成立事故调查组，明确其职责与权限，进行事故调查。事故调查应查明事故发生的时间、经过、原因、波及范围、人员伤亡情况及直接经济损失等。</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事故调查组应根据有关证据资料，分析事故的直接、间接原因和事故责任，提出应吸取的教训、整改措施和处理建议，编制事故调查报告。</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事故调查报告应当包括下列内容：  </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（1）事故发生单位（部门、班组）概况；</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（2）事故发生经过和事故救援情况；</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（3）事故造成的人员伤亡和直接经济损失；</w:t>
      </w:r>
    </w:p>
    <w:p>
      <w:pPr>
        <w:pStyle w:val="11"/>
        <w:shd w:val="clear" w:color="auto" w:fill="auto"/>
        <w:tabs>
          <w:tab w:val="left" w:leader="dot" w:pos="3383"/>
        </w:tabs>
        <w:spacing w:before="0" w:line="360" w:lineRule="auto"/>
        <w:ind w:firstLine="0" w:firstLineChars="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 </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（4）事故发生的原因和事故性质；  </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（5）事故责任的认定以及对事故责任者的处理建议；</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（6）事故防范和整改措施</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 </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7</w:t>
      </w:r>
      <w:r>
        <w:rPr>
          <w:rFonts w:hint="default" w:ascii="Times New Roman" w:hAnsi="Times New Roman" w:eastAsia="宋体" w:cs="Times New Roman"/>
          <w:color w:val="000000" w:themeColor="text1"/>
          <w:sz w:val="21"/>
          <w:szCs w:val="21"/>
          <w14:textFill>
            <w14:solidFill>
              <w14:schemeClr w14:val="tx1"/>
            </w14:solidFill>
          </w14:textFill>
        </w:rPr>
        <w:t>）有关证据材料</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8</w:t>
      </w:r>
      <w:r>
        <w:rPr>
          <w:rFonts w:hint="default" w:ascii="Times New Roman" w:hAnsi="Times New Roman" w:eastAsia="宋体" w:cs="Times New Roman"/>
          <w:color w:val="000000" w:themeColor="text1"/>
          <w:sz w:val="21"/>
          <w:szCs w:val="21"/>
          <w14:textFill>
            <w14:solidFill>
              <w14:schemeClr w14:val="tx1"/>
            </w14:solidFill>
          </w14:textFill>
        </w:rPr>
        <w:t>）事故调查组</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成员</w:t>
      </w:r>
      <w:r>
        <w:rPr>
          <w:rFonts w:hint="default" w:ascii="Times New Roman" w:hAnsi="Times New Roman" w:eastAsia="宋体" w:cs="Times New Roman"/>
          <w:color w:val="000000" w:themeColor="text1"/>
          <w:sz w:val="21"/>
          <w:szCs w:val="21"/>
          <w14:textFill>
            <w14:solidFill>
              <w14:schemeClr w14:val="tx1"/>
            </w14:solidFill>
          </w14:textFill>
        </w:rPr>
        <w:t>签名。</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5.10.3事故档案管理</w:t>
      </w:r>
    </w:p>
    <w:p>
      <w:pPr>
        <w:pStyle w:val="11"/>
        <w:keepNext w:val="0"/>
        <w:keepLines w:val="0"/>
        <w:pageBreakBefore w:val="0"/>
        <w:widowControl w:val="0"/>
        <w:shd w:val="clear" w:color="auto" w:fill="auto"/>
        <w:tabs>
          <w:tab w:val="left" w:leader="dot" w:pos="3383"/>
        </w:tabs>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测绘单位应建立事故档案和管理台账，将相关方在本单位发生的事故纳入本单位事故管理。</w:t>
      </w:r>
    </w:p>
    <w:p>
      <w:pPr>
        <w:pStyle w:val="11"/>
        <w:keepNext w:val="0"/>
        <w:keepLines w:val="0"/>
        <w:pageBreakBefore w:val="0"/>
        <w:widowControl w:val="0"/>
        <w:shd w:val="clear" w:color="auto" w:fill="auto"/>
        <w:kinsoku/>
        <w:wordWrap/>
        <w:overflowPunct/>
        <w:topLinePunct w:val="0"/>
        <w:autoSpaceDE/>
        <w:autoSpaceDN/>
        <w:bidi w:val="0"/>
        <w:adjustRightInd/>
        <w:snapToGrid/>
        <w:spacing w:before="0" w:line="360" w:lineRule="auto"/>
        <w:ind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测绘单位应按照</w:t>
      </w:r>
      <w:r>
        <w:rPr>
          <w:rFonts w:hint="default" w:ascii="Times New Roman" w:hAnsi="Times New Roman" w:eastAsia="宋体" w:cs="Times New Roman"/>
          <w:color w:val="000000" w:themeColor="text1"/>
          <w:sz w:val="21"/>
          <w:szCs w:val="21"/>
          <w14:textFill>
            <w14:solidFill>
              <w14:schemeClr w14:val="tx1"/>
            </w14:solidFill>
          </w14:textFill>
        </w:rPr>
        <w:fldChar w:fldCharType="begin"/>
      </w:r>
      <w:r>
        <w:rPr>
          <w:rFonts w:hint="default" w:ascii="Times New Roman" w:hAnsi="Times New Roman" w:eastAsia="宋体" w:cs="Times New Roman"/>
          <w:color w:val="000000" w:themeColor="text1"/>
          <w:sz w:val="21"/>
          <w:szCs w:val="21"/>
          <w14:textFill>
            <w14:solidFill>
              <w14:schemeClr w14:val="tx1"/>
            </w14:solidFill>
          </w14:textFill>
        </w:rPr>
        <w:instrText xml:space="preserve"> HYPERLINK "https://wenku.so.com/d/b2b9101a18f8a7e7f0f6447f345dafe3" \t "_blank" \o "GB6441-86《企业职工伤亡事故分类实用标准》" </w:instrText>
      </w:r>
      <w:r>
        <w:rPr>
          <w:rFonts w:hint="default" w:ascii="Times New Roman" w:hAnsi="Times New Roman" w:eastAsia="宋体" w:cs="Times New Roman"/>
          <w:color w:val="000000" w:themeColor="text1"/>
          <w:sz w:val="21"/>
          <w:szCs w:val="2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14:textFill>
            <w14:solidFill>
              <w14:schemeClr w14:val="tx1"/>
            </w14:solidFill>
          </w14:textFill>
        </w:rPr>
        <w:t>《企业职工伤亡事故分类》</w:t>
      </w:r>
      <w:r>
        <w:rPr>
          <w:rFonts w:hint="default" w:ascii="Times New Roman" w:hAnsi="Times New Roman" w:eastAsia="宋体" w:cs="Times New Roman"/>
          <w:color w:val="000000" w:themeColor="text1"/>
          <w:sz w:val="21"/>
          <w:szCs w:val="21"/>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（GB</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sz w:val="21"/>
          <w:szCs w:val="21"/>
          <w14:textFill>
            <w14:solidFill>
              <w14:schemeClr w14:val="tx1"/>
            </w14:solidFill>
          </w14:textFill>
        </w:rPr>
        <w:t xml:space="preserve"> 6441-1986）《事故伤害损失工作日标准》（GB/T 15499-1995）的有关规定和国家、省市确定的事故统计指标开展事故统计、分析。</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483" w:name="_Toc31120"/>
      <w:bookmarkStart w:id="484" w:name="_Toc32748"/>
      <w:bookmarkStart w:id="485" w:name="_Toc26214"/>
      <w:bookmarkStart w:id="486" w:name="_Toc6593"/>
      <w:bookmarkStart w:id="487" w:name="_Toc22864"/>
      <w:bookmarkStart w:id="488" w:name="_Toc13875"/>
      <w:bookmarkStart w:id="489" w:name="_Toc7255"/>
      <w:bookmarkStart w:id="490" w:name="_Toc2391"/>
      <w:bookmarkStart w:id="491" w:name="_Toc20499"/>
      <w:bookmarkStart w:id="492" w:name="_Toc9231"/>
      <w:bookmarkStart w:id="493" w:name="_Toc20924"/>
      <w:bookmarkStart w:id="494" w:name="_Toc20024"/>
      <w:bookmarkStart w:id="495" w:name="_Toc133074904"/>
      <w:bookmarkStart w:id="496" w:name="_Toc13623"/>
      <w:bookmarkStart w:id="497" w:name="_Toc14415"/>
      <w:bookmarkStart w:id="498" w:name="_Toc4227"/>
      <w:bookmarkStart w:id="499" w:name="_Toc24179"/>
      <w:bookmarkStart w:id="500" w:name="_Toc30791"/>
      <w:bookmarkStart w:id="501" w:name="_Toc24324"/>
      <w:bookmarkStart w:id="502" w:name="_Toc1089"/>
      <w:bookmarkStart w:id="503" w:name="_Toc17000"/>
      <w:bookmarkStart w:id="504" w:name="_Toc9955"/>
      <w:bookmarkStart w:id="505" w:name="_Toc15729"/>
      <w:bookmarkStart w:id="506" w:name="_Toc539"/>
      <w:bookmarkStart w:id="507" w:name="_Toc9792"/>
      <w:bookmarkStart w:id="508" w:name="_Toc25468"/>
      <w:r>
        <w:rPr>
          <w:rFonts w:hint="default" w:ascii="Times New Roman" w:hAnsi="Times New Roman" w:cs="Times New Roman"/>
          <w:color w:val="000000" w:themeColor="text1"/>
          <w:sz w:val="28"/>
          <w:szCs w:val="28"/>
          <w:lang w:val="en-US" w:eastAsia="zh-CN"/>
          <w14:textFill>
            <w14:solidFill>
              <w14:schemeClr w14:val="tx1"/>
            </w14:solidFill>
          </w14:textFill>
        </w:rPr>
        <w:t>6</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监督评审</w:t>
      </w:r>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509" w:name="_Toc12720"/>
      <w:bookmarkStart w:id="510" w:name="_Toc23382"/>
      <w:bookmarkStart w:id="511" w:name="_Toc23410"/>
      <w:bookmarkStart w:id="512" w:name="_Toc12650"/>
      <w:bookmarkStart w:id="513" w:name="_Toc8460"/>
      <w:bookmarkStart w:id="514" w:name="_Toc133074905"/>
      <w:bookmarkStart w:id="515" w:name="_Toc9652"/>
      <w:bookmarkStart w:id="516" w:name="_Toc31856"/>
      <w:bookmarkStart w:id="517" w:name="_Toc27259"/>
      <w:bookmarkStart w:id="518" w:name="_Toc4200"/>
      <w:bookmarkStart w:id="519" w:name="_Toc7724"/>
      <w:bookmarkStart w:id="520" w:name="_Toc19682"/>
      <w:bookmarkStart w:id="521" w:name="_Toc24382"/>
      <w:bookmarkStart w:id="522" w:name="_Toc872"/>
      <w:bookmarkStart w:id="523" w:name="_Toc12374"/>
      <w:bookmarkStart w:id="524" w:name="_Toc16399"/>
      <w:bookmarkStart w:id="525" w:name="_Toc1558"/>
      <w:bookmarkStart w:id="526" w:name="_Toc824"/>
      <w:bookmarkStart w:id="527" w:name="_Toc10115"/>
      <w:bookmarkStart w:id="528" w:name="_Toc11312"/>
      <w:bookmarkStart w:id="529" w:name="_Toc29900"/>
      <w:bookmarkStart w:id="530" w:name="_Toc8940"/>
      <w:bookmarkStart w:id="531" w:name="_Toc16336"/>
      <w:bookmarkStart w:id="532" w:name="_Toc9447"/>
      <w:bookmarkStart w:id="533" w:name="_Toc3818"/>
      <w:bookmarkStart w:id="534" w:name="_Toc4257"/>
      <w:r>
        <w:rPr>
          <w:rFonts w:hint="default" w:ascii="Times New Roman" w:hAnsi="Times New Roman" w:cs="Times New Roman"/>
          <w:color w:val="000000" w:themeColor="text1"/>
          <w:sz w:val="28"/>
          <w:szCs w:val="28"/>
          <w:lang w:val="en-US" w:eastAsia="zh-CN"/>
          <w14:textFill>
            <w14:solidFill>
              <w14:schemeClr w14:val="tx1"/>
            </w14:solidFill>
          </w14:textFill>
        </w:rPr>
        <w:t>6.1</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监督检查</w:t>
      </w:r>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测绘单位应建立安全生产监督检查制度，每年至少定期组织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14:textFill>
            <w14:solidFill>
              <w14:schemeClr w14:val="tx1"/>
            </w14:solidFill>
          </w14:textFill>
        </w:rPr>
        <w:t>次全面检查，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并结合重大节假日、极端天气、重点项目和高风险外业任务开展专项检查。</w:t>
      </w:r>
      <w:r>
        <w:rPr>
          <w:rFonts w:hint="default" w:ascii="Times New Roman" w:hAnsi="Times New Roman" w:eastAsia="宋体" w:cs="Times New Roman"/>
          <w:color w:val="000000" w:themeColor="text1"/>
          <w:sz w:val="21"/>
          <w:szCs w:val="21"/>
          <w14:textFill>
            <w14:solidFill>
              <w14:schemeClr w14:val="tx1"/>
            </w14:solidFill>
          </w14:textFill>
        </w:rPr>
        <w:t>检查的主要内容包括但不限于：安全生产法规制度的贯彻落实，各级安全生产责任制和安全生产措施的落实，安全教育培训的实施、安全风险排查、评级与分级管控、隐患排查治理、安全检查、应急预案与应急演练、伤亡事故的调查处理及报告制度的执行情况等。</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行业主管部门按照“管行业必须管安全、管业务必须管安全、管生产经营必须管安全”的原则，统筹协调安全生产标准化运行工作指南落实，监督检查测绘单位落实安全生产标准化执行情况，必要时开展安全生产标准化专项整治工作。</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535" w:name="_Toc30721"/>
      <w:bookmarkStart w:id="536" w:name="_Toc9781"/>
      <w:bookmarkStart w:id="537" w:name="_Toc5220"/>
      <w:bookmarkStart w:id="538" w:name="_Toc20700"/>
      <w:bookmarkStart w:id="539" w:name="_Toc19205"/>
      <w:bookmarkStart w:id="540" w:name="_Toc3288"/>
      <w:bookmarkStart w:id="541" w:name="_Toc20094"/>
      <w:bookmarkStart w:id="542" w:name="_Toc29441"/>
      <w:bookmarkStart w:id="543" w:name="_Toc4213"/>
      <w:bookmarkStart w:id="544" w:name="_Toc22438"/>
      <w:bookmarkStart w:id="545" w:name="_Toc8407"/>
      <w:bookmarkStart w:id="546" w:name="_Toc30169"/>
      <w:bookmarkStart w:id="547" w:name="_Toc2215"/>
      <w:bookmarkStart w:id="548" w:name="_Toc24884"/>
      <w:bookmarkStart w:id="549" w:name="_Toc25675"/>
      <w:bookmarkStart w:id="550" w:name="_Toc26425"/>
      <w:bookmarkStart w:id="551" w:name="_Toc23682"/>
      <w:bookmarkStart w:id="552" w:name="_Toc26580"/>
      <w:bookmarkStart w:id="553" w:name="_Toc133074906"/>
      <w:bookmarkStart w:id="554" w:name="_Toc21062"/>
      <w:bookmarkStart w:id="555" w:name="_Toc22357"/>
      <w:bookmarkStart w:id="556" w:name="_Toc7443"/>
      <w:bookmarkStart w:id="557" w:name="_Toc22208"/>
      <w:bookmarkStart w:id="558" w:name="_Toc20984"/>
      <w:bookmarkStart w:id="559" w:name="_Toc3595"/>
      <w:bookmarkStart w:id="560" w:name="_Toc6698"/>
      <w:r>
        <w:rPr>
          <w:rFonts w:hint="default" w:ascii="Times New Roman" w:hAnsi="Times New Roman" w:cs="Times New Roman"/>
          <w:color w:val="000000" w:themeColor="text1"/>
          <w:sz w:val="28"/>
          <w:szCs w:val="28"/>
          <w:lang w:val="en-US" w:eastAsia="zh-CN"/>
          <w14:textFill>
            <w14:solidFill>
              <w14:schemeClr w14:val="tx1"/>
            </w14:solidFill>
          </w14:textFill>
        </w:rPr>
        <w:t>6.2</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记录控制</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测绘单位应如实记录安全生产管理情况，建立安全生产标准化资料台账，记录包括但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不</w:t>
      </w:r>
      <w:r>
        <w:rPr>
          <w:rFonts w:hint="default" w:ascii="Times New Roman" w:hAnsi="Times New Roman" w:eastAsia="宋体" w:cs="Times New Roman"/>
          <w:color w:val="000000" w:themeColor="text1"/>
          <w:sz w:val="21"/>
          <w:szCs w:val="21"/>
          <w14:textFill>
            <w14:solidFill>
              <w14:schemeClr w14:val="tx1"/>
            </w14:solidFill>
          </w14:textFill>
        </w:rPr>
        <w:t>限于下列内容：规章制度、安全风险台账、隐患排查治理台账、安全检查台账、安全生产教育培训台账、安全工作例会台账、劳保用品登记使用台账、应急预案和应急演练记录、事故情况等（见附录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N</w:t>
      </w:r>
      <w:r>
        <w:rPr>
          <w:rFonts w:hint="default" w:ascii="Times New Roman" w:hAnsi="Times New Roman" w:eastAsia="宋体" w:cs="Times New Roman"/>
          <w:color w:val="000000" w:themeColor="text1"/>
          <w:sz w:val="21"/>
          <w:szCs w:val="21"/>
          <w14:textFill>
            <w14:solidFill>
              <w14:schemeClr w14:val="tx1"/>
            </w14:solidFill>
          </w14:textFill>
        </w:rPr>
        <w:t>）。</w:t>
      </w:r>
    </w:p>
    <w:p>
      <w:pPr>
        <w:pStyle w:val="3"/>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561" w:name="_Toc20216"/>
      <w:bookmarkStart w:id="562" w:name="_Toc31989"/>
      <w:bookmarkStart w:id="563" w:name="_Toc7565"/>
      <w:bookmarkStart w:id="564" w:name="_Toc11978"/>
      <w:bookmarkStart w:id="565" w:name="_Toc9024"/>
      <w:bookmarkStart w:id="566" w:name="_Toc16090"/>
      <w:bookmarkStart w:id="567" w:name="_Toc14642"/>
      <w:bookmarkStart w:id="568" w:name="_Toc11515"/>
      <w:bookmarkStart w:id="569" w:name="_Toc17838"/>
      <w:bookmarkStart w:id="570" w:name="_Toc14140"/>
      <w:bookmarkStart w:id="571" w:name="_Toc18021"/>
      <w:bookmarkStart w:id="572" w:name="_Toc31823"/>
      <w:bookmarkStart w:id="573" w:name="_Toc15762"/>
      <w:bookmarkStart w:id="574" w:name="_Toc27701"/>
      <w:bookmarkStart w:id="575" w:name="_Toc27168"/>
      <w:bookmarkStart w:id="576" w:name="_Toc20520"/>
      <w:bookmarkStart w:id="577" w:name="_Toc15955"/>
      <w:bookmarkStart w:id="578" w:name="_Toc22521"/>
      <w:bookmarkStart w:id="579" w:name="_Toc133074907"/>
      <w:bookmarkStart w:id="580" w:name="_Toc30098"/>
      <w:bookmarkStart w:id="581" w:name="_Toc6229"/>
      <w:bookmarkStart w:id="582" w:name="_Toc22821"/>
      <w:bookmarkStart w:id="583" w:name="_Toc8454"/>
      <w:bookmarkStart w:id="584" w:name="_Toc20578"/>
      <w:bookmarkStart w:id="585" w:name="_Toc8162"/>
      <w:bookmarkStart w:id="586" w:name="_Toc16279"/>
      <w:r>
        <w:rPr>
          <w:rFonts w:hint="default" w:ascii="Times New Roman" w:hAnsi="Times New Roman" w:cs="Times New Roman"/>
          <w:color w:val="000000" w:themeColor="text1"/>
          <w:sz w:val="28"/>
          <w:szCs w:val="28"/>
          <w:lang w:val="en-US" w:eastAsia="zh-CN"/>
          <w14:textFill>
            <w14:solidFill>
              <w14:schemeClr w14:val="tx1"/>
            </w14:solidFill>
          </w14:textFill>
        </w:rPr>
        <w:t>6.3</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年度自评</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测绘单位应根据本《</w:t>
      </w:r>
      <w:r>
        <w:rPr>
          <w:rFonts w:hint="default" w:ascii="Times New Roman" w:hAnsi="Times New Roman" w:eastAsia="宋体" w:cs="Times New Roman"/>
          <w:color w:val="000000" w:themeColor="text1"/>
          <w:sz w:val="21"/>
          <w:szCs w:val="21"/>
          <w:lang w:eastAsia="zh-CN"/>
          <w14:textFill>
            <w14:solidFill>
              <w14:schemeClr w14:val="tx1"/>
            </w14:solidFill>
          </w14:textFill>
        </w:rPr>
        <w:t>指南》</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每年</w:t>
      </w:r>
      <w:r>
        <w:rPr>
          <w:rFonts w:hint="default" w:ascii="Times New Roman" w:hAnsi="Times New Roman" w:eastAsia="宋体" w:cs="Times New Roman"/>
          <w:color w:val="000000" w:themeColor="text1"/>
          <w:sz w:val="21"/>
          <w:szCs w:val="21"/>
          <w14:textFill>
            <w14:solidFill>
              <w14:schemeClr w14:val="tx1"/>
            </w14:solidFill>
          </w14:textFill>
        </w:rPr>
        <w:t>开展一次自评,形成《自评报告》（见附录</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O</w:t>
      </w:r>
      <w:r>
        <w:rPr>
          <w:rFonts w:hint="default" w:ascii="Times New Roman" w:hAnsi="Times New Roman" w:eastAsia="宋体" w:cs="Times New Roman"/>
          <w:color w:val="000000" w:themeColor="text1"/>
          <w:sz w:val="21"/>
          <w:szCs w:val="21"/>
          <w14:textFill>
            <w14:solidFill>
              <w14:schemeClr w14:val="tx1"/>
            </w14:solidFill>
          </w14:textFill>
        </w:rPr>
        <w:t>），验证各项安全生产制度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14:textFill>
            <w14:solidFill>
              <w14:schemeClr w14:val="tx1"/>
            </w14:solidFill>
          </w14:textFill>
        </w:rPr>
        <w:t>措施的适宜性、充分性和有效性，检查安全生产和职业卫生管理目标、指标的完成情况，并将自评报告向本单位所有部门、相关方和从业人员通报。</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587" w:name="_Toc19992"/>
      <w:bookmarkStart w:id="588" w:name="_Toc19217"/>
      <w:bookmarkStart w:id="589" w:name="_Toc13042"/>
      <w:bookmarkStart w:id="590" w:name="_Toc11174"/>
      <w:bookmarkStart w:id="591" w:name="_Toc31980"/>
      <w:bookmarkStart w:id="592" w:name="_Toc13740"/>
      <w:bookmarkStart w:id="593" w:name="_Toc6687"/>
      <w:bookmarkStart w:id="594" w:name="_Toc4706"/>
      <w:bookmarkStart w:id="595" w:name="_Toc13784"/>
      <w:bookmarkStart w:id="596" w:name="_Toc1605"/>
      <w:bookmarkStart w:id="597" w:name="_Toc10770"/>
      <w:bookmarkStart w:id="598" w:name="_Toc27587"/>
      <w:bookmarkStart w:id="599" w:name="_Toc14774"/>
      <w:bookmarkStart w:id="600" w:name="_Toc22106"/>
      <w:bookmarkStart w:id="601" w:name="_Toc11020"/>
      <w:bookmarkStart w:id="602" w:name="_Toc28805"/>
      <w:bookmarkStart w:id="603" w:name="_Toc18757"/>
      <w:bookmarkStart w:id="604" w:name="_Toc133074908"/>
      <w:bookmarkStart w:id="605" w:name="_Toc28378"/>
      <w:bookmarkStart w:id="606" w:name="_Toc3539"/>
      <w:bookmarkStart w:id="607" w:name="_Toc3675"/>
      <w:bookmarkStart w:id="608" w:name="_Toc16792"/>
      <w:bookmarkStart w:id="609" w:name="_Toc3415"/>
      <w:bookmarkStart w:id="610" w:name="_Toc32682"/>
      <w:bookmarkStart w:id="611" w:name="_Toc1079"/>
      <w:bookmarkStart w:id="612" w:name="_Toc2934"/>
      <w:r>
        <w:rPr>
          <w:rFonts w:hint="default" w:ascii="Times New Roman" w:hAnsi="Times New Roman" w:cs="Times New Roman"/>
          <w:color w:val="000000" w:themeColor="text1"/>
          <w:sz w:val="28"/>
          <w:szCs w:val="28"/>
          <w:lang w:val="en-US" w:eastAsia="zh-CN"/>
          <w14:textFill>
            <w14:solidFill>
              <w14:schemeClr w14:val="tx1"/>
            </w14:solidFill>
          </w14:textFill>
        </w:rPr>
        <w:t>7 绩效评定</w:t>
      </w:r>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测绘单位每年自评结果应形成正式文件，作为年度安全绩效考核的重要依据。测绘单位发生生产安全责任死亡事故的，应重新进行安全绩效评定，全面查找安全生产标准化管理体系中存在缺陷。</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在基础达标评价基础上，鼓励将外业定位与应急通信、移动端隐患上报、AI或视频识别不安全行为、隐患内部报告奖励、桌面推演常态化、重大风险数字化看板等主动治理做法作为鼓励项和示范项，作为评优推荐、行业示范、信用评价或监管分级的重要参考。</w:t>
      </w:r>
    </w:p>
    <w:p>
      <w:pPr>
        <w:pStyle w:val="2"/>
        <w:spacing w:before="0" w:line="360" w:lineRule="auto"/>
        <w:jc w:val="both"/>
        <w:rPr>
          <w:rFonts w:hint="default" w:ascii="Times New Roman" w:hAnsi="Times New Roman" w:cs="Times New Roman"/>
          <w:color w:val="000000" w:themeColor="text1"/>
          <w:sz w:val="28"/>
          <w:szCs w:val="28"/>
          <w:lang w:val="en-US" w:eastAsia="zh-CN"/>
          <w14:textFill>
            <w14:solidFill>
              <w14:schemeClr w14:val="tx1"/>
            </w14:solidFill>
          </w14:textFill>
        </w:rPr>
      </w:pPr>
      <w:bookmarkStart w:id="613" w:name="_Toc18476"/>
      <w:bookmarkStart w:id="614" w:name="_Toc23156"/>
      <w:bookmarkStart w:id="615" w:name="_Toc9183"/>
      <w:bookmarkStart w:id="616" w:name="_Toc17891"/>
      <w:bookmarkStart w:id="617" w:name="_Toc2043"/>
      <w:bookmarkStart w:id="618" w:name="_Toc22529"/>
      <w:bookmarkStart w:id="619" w:name="_Toc12446"/>
      <w:bookmarkStart w:id="620" w:name="_Toc27676"/>
      <w:bookmarkStart w:id="621" w:name="_Toc32686"/>
      <w:bookmarkStart w:id="622" w:name="_Toc133074909"/>
      <w:bookmarkStart w:id="623" w:name="_Toc5194"/>
      <w:bookmarkStart w:id="624" w:name="_Toc11240"/>
      <w:bookmarkStart w:id="625" w:name="_Toc31772"/>
      <w:bookmarkStart w:id="626" w:name="_Toc19898"/>
      <w:bookmarkStart w:id="627" w:name="_Toc11081"/>
      <w:bookmarkStart w:id="628" w:name="_Toc15022"/>
      <w:bookmarkStart w:id="629" w:name="_Toc6641"/>
      <w:bookmarkStart w:id="630" w:name="_Toc16194"/>
      <w:bookmarkStart w:id="631" w:name="_Toc8726"/>
      <w:bookmarkStart w:id="632" w:name="_Toc20175"/>
      <w:bookmarkStart w:id="633" w:name="_Toc23810"/>
      <w:bookmarkStart w:id="634" w:name="_Toc16093"/>
      <w:bookmarkStart w:id="635" w:name="_Toc8192"/>
      <w:bookmarkStart w:id="636" w:name="_Toc4320"/>
      <w:bookmarkStart w:id="637" w:name="_Toc30715"/>
      <w:bookmarkStart w:id="638" w:name="_Toc12305"/>
      <w:r>
        <w:rPr>
          <w:rFonts w:hint="default" w:ascii="Times New Roman" w:hAnsi="Times New Roman" w:cs="Times New Roman"/>
          <w:color w:val="000000" w:themeColor="text1"/>
          <w:sz w:val="28"/>
          <w:szCs w:val="28"/>
          <w:lang w:val="en-US" w:eastAsia="zh-CN"/>
          <w14:textFill>
            <w14:solidFill>
              <w14:schemeClr w14:val="tx1"/>
            </w14:solidFill>
          </w14:textFill>
        </w:rPr>
        <w:t>8</w:t>
      </w:r>
      <w:r>
        <w:rPr>
          <w:rFonts w:hint="eastAsia" w:ascii="Times New Roman" w:hAnsi="Times New Roman" w:cs="Times New Roman"/>
          <w:color w:val="000000" w:themeColor="text1"/>
          <w:sz w:val="28"/>
          <w:szCs w:val="28"/>
          <w:lang w:val="en-US" w:eastAsia="zh-CN"/>
          <w14:textFill>
            <w14:solidFill>
              <w14:schemeClr w14:val="tx1"/>
            </w14:solidFill>
          </w14:textFill>
        </w:rPr>
        <w:t xml:space="preserve"> </w:t>
      </w:r>
      <w:r>
        <w:rPr>
          <w:rFonts w:hint="default" w:ascii="Times New Roman" w:hAnsi="Times New Roman" w:cs="Times New Roman"/>
          <w:color w:val="000000" w:themeColor="text1"/>
          <w:sz w:val="28"/>
          <w:szCs w:val="28"/>
          <w:lang w:val="en-US" w:eastAsia="zh-CN"/>
          <w14:textFill>
            <w14:solidFill>
              <w14:schemeClr w14:val="tx1"/>
            </w14:solidFill>
          </w14:textFill>
        </w:rPr>
        <w:t>持续改进</w:t>
      </w:r>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本《指南》自评结果和安全生产预测预警系统所反映的趋势，以及绩效评估情况，客观分析本单位安全生产标准化管理体系的运行质量，及时调整完善相关制度文件和过程管控。对重复发生的隐患、重大风险管控失效、演练暴露问题和事故调查整改措施落实情况，应开展跟踪复盘和“回头看”，推动持续改进，不断提高安全生产质量。</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p>
      <w:pPr>
        <w:pStyle w:val="2"/>
        <w:widowControl/>
        <w:spacing w:before="0" w:line="360" w:lineRule="auto"/>
        <w:rPr>
          <w:rFonts w:hint="default" w:ascii="Times New Roman" w:hAnsi="Times New Roman" w:cs="Times New Roman"/>
          <w:color w:val="000000" w:themeColor="text1"/>
          <w:lang w:val="en-US" w:eastAsia="zh-CN"/>
          <w14:textFill>
            <w14:solidFill>
              <w14:schemeClr w14:val="tx1"/>
            </w14:solidFill>
          </w14:textFill>
        </w:rPr>
      </w:pPr>
      <w:bookmarkStart w:id="639" w:name="_Toc12095"/>
      <w:bookmarkStart w:id="640" w:name="_Toc3678"/>
      <w:bookmarkStart w:id="641" w:name="_Toc23069"/>
      <w:bookmarkStart w:id="642" w:name="_Toc21054"/>
      <w:bookmarkStart w:id="643" w:name="_Toc28747"/>
      <w:bookmarkStart w:id="644" w:name="_Toc2811"/>
      <w:bookmarkStart w:id="645" w:name="_Toc1347"/>
      <w:bookmarkStart w:id="646" w:name="_Toc31751"/>
      <w:bookmarkStart w:id="647" w:name="_Toc19847"/>
      <w:bookmarkStart w:id="648" w:name="_Toc23385"/>
      <w:bookmarkStart w:id="649" w:name="_Toc24788"/>
      <w:bookmarkStart w:id="650" w:name="_Toc18827"/>
      <w:bookmarkStart w:id="651" w:name="_Toc29188"/>
      <w:bookmarkStart w:id="652" w:name="_Toc6427"/>
      <w:bookmarkStart w:id="653" w:name="_Toc12042"/>
      <w:r>
        <w:rPr>
          <w:rFonts w:hint="default" w:ascii="Times New Roman" w:hAnsi="Times New Roman" w:cs="Times New Roman"/>
          <w:color w:val="000000" w:themeColor="text1"/>
          <w:lang w:val="en-US" w:eastAsia="zh-CN"/>
          <w14:textFill>
            <w14:solidFill>
              <w14:schemeClr w14:val="tx1"/>
            </w14:solidFill>
          </w14:textFill>
        </w:rPr>
        <w:t>附录A 术语和定义</w:t>
      </w:r>
      <w:bookmarkEnd w:id="639"/>
      <w:bookmarkEnd w:id="640"/>
      <w:bookmarkEnd w:id="641"/>
      <w:bookmarkEnd w:id="642"/>
      <w:bookmarkEnd w:id="643"/>
      <w:bookmarkEnd w:id="644"/>
    </w:p>
    <w:p>
      <w:pPr>
        <w:pStyle w:val="11"/>
        <w:shd w:val="clear" w:color="auto" w:fill="auto"/>
        <w:tabs>
          <w:tab w:val="left" w:leader="dot" w:pos="3383"/>
        </w:tabs>
        <w:spacing w:before="0" w:line="360" w:lineRule="auto"/>
        <w:ind w:firstLine="431"/>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附  录A</w:t>
      </w:r>
      <w:bookmarkEnd w:id="645"/>
      <w:bookmarkEnd w:id="646"/>
      <w:bookmarkEnd w:id="647"/>
      <w:bookmarkEnd w:id="648"/>
      <w:bookmarkEnd w:id="649"/>
      <w:bookmarkEnd w:id="650"/>
      <w:bookmarkEnd w:id="651"/>
      <w:bookmarkEnd w:id="652"/>
      <w:bookmarkEnd w:id="653"/>
    </w:p>
    <w:p>
      <w:pPr>
        <w:pStyle w:val="11"/>
        <w:shd w:val="clear" w:color="auto" w:fill="auto"/>
        <w:tabs>
          <w:tab w:val="left" w:leader="dot" w:pos="3383"/>
        </w:tabs>
        <w:spacing w:before="0" w:line="360" w:lineRule="auto"/>
        <w:ind w:firstLine="431"/>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(资料性）</w:t>
      </w:r>
    </w:p>
    <w:p>
      <w:pPr>
        <w:pStyle w:val="11"/>
        <w:shd w:val="clear" w:color="auto" w:fill="auto"/>
        <w:tabs>
          <w:tab w:val="left" w:leader="dot" w:pos="3383"/>
        </w:tabs>
        <w:spacing w:before="0" w:line="360" w:lineRule="auto"/>
        <w:ind w:firstLine="431"/>
        <w:jc w:val="center"/>
        <w:rPr>
          <w:rFonts w:hint="default" w:ascii="Times New Roman" w:hAnsi="Times New Roman" w:eastAsia="宋体" w:cs="Times New Roman"/>
          <w:b/>
          <w:bCs/>
          <w:color w:val="000000" w:themeColor="text1"/>
          <w:sz w:val="21"/>
          <w:szCs w:val="21"/>
          <w14:textFill>
            <w14:solidFill>
              <w14:schemeClr w14:val="tx1"/>
            </w14:solidFill>
          </w14:textFill>
        </w:rPr>
      </w:pPr>
      <w:bookmarkStart w:id="654" w:name="_Toc4521"/>
      <w:bookmarkStart w:id="655" w:name="_Toc15787"/>
      <w:bookmarkStart w:id="656" w:name="_Toc7437"/>
      <w:bookmarkStart w:id="657" w:name="_Toc19513"/>
      <w:bookmarkStart w:id="658" w:name="_Toc14852"/>
      <w:bookmarkStart w:id="659" w:name="_Toc9018"/>
      <w:r>
        <w:rPr>
          <w:rFonts w:hint="default" w:ascii="Times New Roman" w:hAnsi="Times New Roman" w:eastAsia="宋体" w:cs="Times New Roman"/>
          <w:b/>
          <w:bCs/>
          <w:color w:val="000000" w:themeColor="text1"/>
          <w:sz w:val="21"/>
          <w:szCs w:val="21"/>
          <w14:textFill>
            <w14:solidFill>
              <w14:schemeClr w14:val="tx1"/>
            </w14:solidFill>
          </w14:textFill>
        </w:rPr>
        <w:t>术语和定义</w:t>
      </w:r>
      <w:bookmarkEnd w:id="654"/>
      <w:bookmarkEnd w:id="655"/>
      <w:bookmarkEnd w:id="656"/>
      <w:bookmarkEnd w:id="657"/>
      <w:bookmarkEnd w:id="658"/>
      <w:bookmarkEnd w:id="659"/>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sz w:val="21"/>
          <w:szCs w:val="21"/>
          <w14:textFill>
            <w14:solidFill>
              <w14:schemeClr w14:val="tx1"/>
            </w14:solidFill>
          </w14:textFill>
        </w:rPr>
      </w:pPr>
    </w:p>
    <w:p>
      <w:pPr>
        <w:spacing w:line="360" w:lineRule="auto"/>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1.</w:t>
      </w:r>
      <w:r>
        <w:rPr>
          <w:rFonts w:hint="default" w:ascii="Times New Roman" w:hAnsi="Times New Roman" w:eastAsia="宋体" w:cs="Times New Roman"/>
          <w:b/>
          <w:bCs/>
          <w:color w:val="000000" w:themeColor="text1"/>
          <w14:textFill>
            <w14:solidFill>
              <w14:schemeClr w14:val="tx1"/>
            </w14:solidFill>
          </w14:textFill>
        </w:rPr>
        <w:t>安全风险</w:t>
      </w: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与工作相关的危险事件或暴露发生的可能性与危险事件或暴露而导致的伤害和财产损失的严重性的组合。</w:t>
      </w:r>
    </w:p>
    <w:p>
      <w:pPr>
        <w:spacing w:line="360" w:lineRule="auto"/>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2.</w:t>
      </w:r>
      <w:r>
        <w:rPr>
          <w:rFonts w:hint="default" w:ascii="Times New Roman" w:hAnsi="Times New Roman" w:eastAsia="宋体" w:cs="Times New Roman"/>
          <w:b/>
          <w:bCs/>
          <w:color w:val="000000" w:themeColor="text1"/>
          <w14:textFill>
            <w14:solidFill>
              <w14:schemeClr w14:val="tx1"/>
            </w14:solidFill>
          </w14:textFill>
        </w:rPr>
        <w:t>安全风险管控</w:t>
      </w: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是指测绘单位通过识别</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"https://baike.baidu.com/item/%E7%94%9F%E4%BA%A7%E7%BB%8F%E8%90%A5%E6%B4%BB%E5%8A%A8/7497899?fromModule=lemma_inlink"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生产经营活动</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中存在的危险、有害因素，并运用定性或定量的</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"https://baike.baidu.com/item/%E7%BB%9F%E8%AE%A1%E5%88%86%E6%9E%90/11013761?fromModule=lemma_inlink"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统计分析</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方法确定其风险严重程度，进而确定</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"https://baike.baidu.com/item/%E9%A3%8E%E9%99%A9%E6%8E%A7%E5%88%B6/1861?fromModule=lemma_inlink"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风险控制</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的优先顺序和风险</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"https://baike.baidu.com/item/%E6%8E%A7%E5%88%B6%E6%8E%AA%E6%96%BD/5647158?fromModule=lemma_inlink"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控制措施</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，以达到改善安全</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"https://baike.baidu.com/item/%E7%94%9F%E4%BA%A7%E7%8E%AF%E5%A2%83/8167457?fromModule=lemma_inlink"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生产环境</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、减少和杜绝</w:t>
      </w:r>
      <w:r>
        <w:rPr>
          <w:rFonts w:hint="default" w:ascii="Times New Roman" w:hAnsi="Times New Roman" w:cs="Times New Roman"/>
          <w:color w:val="000000" w:themeColor="text1"/>
          <w14:textFill>
            <w14:solidFill>
              <w14:schemeClr w14:val="tx1"/>
            </w14:solidFill>
          </w14:textFill>
        </w:rPr>
        <w:fldChar w:fldCharType="begin"/>
      </w:r>
      <w:r>
        <w:rPr>
          <w:rFonts w:hint="default" w:ascii="Times New Roman" w:hAnsi="Times New Roman" w:cs="Times New Roman"/>
          <w:color w:val="000000" w:themeColor="text1"/>
          <w14:textFill>
            <w14:solidFill>
              <w14:schemeClr w14:val="tx1"/>
            </w14:solidFill>
          </w14:textFill>
        </w:rPr>
        <w:instrText xml:space="preserve"> HYPERLINK "https://baike.baidu.com/item/%E5%AE%89%E5%85%A8%E7%94%9F%E4%BA%A7%E4%BA%8B%E6%95%85/6986754?fromModule=lemma_inlink" \t "_blank" </w:instrText>
      </w:r>
      <w:r>
        <w:rPr>
          <w:rFonts w:hint="default" w:ascii="Times New Roman" w:hAnsi="Times New Roman" w:cs="Times New Roman"/>
          <w:color w:val="000000" w:themeColor="text1"/>
          <w14:textFill>
            <w14:solidFill>
              <w14:schemeClr w14:val="tx1"/>
            </w14:solidFill>
          </w14:textFill>
        </w:rPr>
        <w:fldChar w:fldCharType="separate"/>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t>安全生产事故</w:t>
      </w:r>
      <w:r>
        <w:rPr>
          <w:rFonts w:hint="default" w:ascii="Times New Roman" w:hAnsi="Times New Roman" w:eastAsia="宋体" w:cs="Times New Roman"/>
          <w:color w:val="000000" w:themeColor="text1"/>
          <w:sz w:val="21"/>
          <w:szCs w:val="21"/>
          <w:shd w:val="clear" w:color="auto" w:fill="FFFFFF"/>
          <w14:textFill>
            <w14:solidFill>
              <w14:schemeClr w14:val="tx1"/>
            </w14:solidFill>
          </w14:textFill>
        </w:rPr>
        <w:fldChar w:fldCharType="end"/>
      </w:r>
      <w:r>
        <w:rPr>
          <w:rFonts w:hint="default" w:ascii="Times New Roman" w:hAnsi="Times New Roman" w:eastAsia="宋体" w:cs="Times New Roman"/>
          <w:color w:val="000000" w:themeColor="text1"/>
          <w:sz w:val="21"/>
          <w:szCs w:val="21"/>
          <w14:textFill>
            <w14:solidFill>
              <w14:schemeClr w14:val="tx1"/>
            </w14:solidFill>
          </w14:textFill>
        </w:rPr>
        <w:t>的目标而采取的措施和规定。</w:t>
      </w:r>
    </w:p>
    <w:p>
      <w:pPr>
        <w:spacing w:line="360" w:lineRule="auto"/>
        <w:jc w:val="both"/>
        <w:rPr>
          <w:rFonts w:hint="default" w:ascii="Times New Roman" w:hAnsi="Times New Roman" w:eastAsia="宋体" w:cs="Times New Roman"/>
          <w:b/>
          <w:bCs/>
          <w:color w:val="000000" w:themeColor="text1"/>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3.</w:t>
      </w:r>
      <w:r>
        <w:rPr>
          <w:rFonts w:hint="default" w:ascii="Times New Roman" w:hAnsi="Times New Roman" w:eastAsia="宋体" w:cs="Times New Roman"/>
          <w:b/>
          <w:bCs/>
          <w:color w:val="000000" w:themeColor="text1"/>
          <w14:textFill>
            <w14:solidFill>
              <w14:schemeClr w14:val="tx1"/>
            </w14:solidFill>
          </w14:textFill>
        </w:rPr>
        <w:t>隐患排查治理</w:t>
      </w: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是指生产经营单位安全生产管理过程中的一项法定工作。根据国家安全生产法律、法规、标准和</w:t>
      </w:r>
      <w:r>
        <w:rPr>
          <w:rFonts w:hint="default" w:ascii="Times New Roman" w:hAnsi="Times New Roman" w:eastAsia="宋体" w:cs="Times New Roman"/>
          <w:color w:val="000000" w:themeColor="text1"/>
          <w:lang w:eastAsia="zh-CN"/>
          <w14:textFill>
            <w14:solidFill>
              <w14:schemeClr w14:val="tx1"/>
            </w14:solidFill>
          </w14:textFill>
        </w:rPr>
        <w:t>单位</w:t>
      </w:r>
      <w:r>
        <w:rPr>
          <w:rFonts w:hint="default" w:ascii="Times New Roman" w:hAnsi="Times New Roman" w:eastAsia="宋体" w:cs="Times New Roman"/>
          <w:color w:val="000000" w:themeColor="text1"/>
          <w14:textFill>
            <w14:solidFill>
              <w14:schemeClr w14:val="tx1"/>
            </w14:solidFill>
          </w14:textFill>
        </w:rPr>
        <w:t>安全管理制度的要求，利用安全生产管理相关方法，对生产经营单位的人、机、物、环境和生产安全管理进行合规性排查，发现隐患后，根据各种治理手段，将其隐患消除、达到安全生产的目标。</w:t>
      </w:r>
    </w:p>
    <w:p>
      <w:pPr>
        <w:spacing w:line="360" w:lineRule="auto"/>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4.“三合一”场所</w:t>
      </w: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是指住宿与生产</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储存</w:t>
      </w:r>
      <w:r>
        <w:rPr>
          <w:rFonts w:hint="default" w:ascii="Times New Roman" w:hAnsi="Times New Roman" w:eastAsia="宋体" w:cs="Times New Roman"/>
          <w:color w:val="000000" w:themeColor="text1"/>
          <w:lang w:eastAsia="zh-CN"/>
          <w14:textFill>
            <w14:solidFill>
              <w14:schemeClr w14:val="tx1"/>
            </w14:solidFill>
          </w14:textFill>
        </w:rPr>
        <w:t>、</w:t>
      </w:r>
      <w:r>
        <w:rPr>
          <w:rFonts w:hint="default" w:ascii="Times New Roman" w:hAnsi="Times New Roman" w:eastAsia="宋体" w:cs="Times New Roman"/>
          <w:color w:val="000000" w:themeColor="text1"/>
          <w14:textFill>
            <w14:solidFill>
              <w14:schemeClr w14:val="tx1"/>
            </w14:solidFill>
          </w14:textFill>
        </w:rPr>
        <w:t>经营混合设置、同一连通空间且未有效防火分隔的场所。</w:t>
      </w:r>
    </w:p>
    <w:p>
      <w:pPr>
        <w:spacing w:line="360" w:lineRule="auto"/>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5.真高</w:t>
      </w: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b w:val="0"/>
          <w:bCs w:val="0"/>
          <w:color w:val="000000" w:themeColor="text1"/>
          <w:lang w:val="en-US" w:eastAsia="zh-CN"/>
          <w14:textFill>
            <w14:solidFill>
              <w14:schemeClr w14:val="tx1"/>
            </w14:solidFill>
          </w14:textFill>
        </w:rPr>
      </w:pPr>
      <w:r>
        <w:rPr>
          <w:rFonts w:hint="default" w:ascii="Times New Roman" w:hAnsi="Times New Roman" w:eastAsia="宋体" w:cs="Times New Roman"/>
          <w:b w:val="0"/>
          <w:bCs w:val="0"/>
          <w:color w:val="000000" w:themeColor="text1"/>
          <w:lang w:val="en-US" w:eastAsia="zh-CN"/>
          <w14:textFill>
            <w14:solidFill>
              <w14:schemeClr w14:val="tx1"/>
            </w14:solidFill>
          </w14:textFill>
        </w:rPr>
        <w:t>是指无人驾驶航空器飞行高度与其在地面投影点之间的实时垂直距离。</w:t>
      </w:r>
    </w:p>
    <w:p>
      <w:pPr>
        <w:spacing w:line="360" w:lineRule="auto"/>
        <w:jc w:val="both"/>
        <w:rPr>
          <w:rFonts w:hint="default" w:ascii="Times New Roman" w:hAnsi="Times New Roman" w:eastAsia="宋体" w:cs="Times New Roman"/>
          <w:b/>
          <w:bCs/>
          <w:color w:val="000000" w:themeColor="text1"/>
          <w:lang w:val="en-US" w:eastAsia="zh-CN"/>
          <w14:textFill>
            <w14:solidFill>
              <w14:schemeClr w14:val="tx1"/>
            </w14:solidFill>
          </w14:textFill>
        </w:rPr>
      </w:pPr>
      <w:r>
        <w:rPr>
          <w:rFonts w:hint="default" w:ascii="Times New Roman" w:hAnsi="Times New Roman" w:eastAsia="宋体" w:cs="Times New Roman"/>
          <w:b/>
          <w:bCs/>
          <w:color w:val="000000" w:themeColor="text1"/>
          <w:lang w:val="en-US" w:eastAsia="zh-CN"/>
          <w14:textFill>
            <w14:solidFill>
              <w14:schemeClr w14:val="tx1"/>
            </w14:solidFill>
          </w14:textFill>
        </w:rPr>
        <w:t>6.桌面推演</w:t>
      </w:r>
    </w:p>
    <w:p>
      <w:pPr>
        <w:pStyle w:val="11"/>
        <w:numPr>
          <w:ilvl w:val="-1"/>
          <w:numId w:val="0"/>
        </w:numPr>
        <w:shd w:val="clear" w:color="auto" w:fill="auto"/>
        <w:tabs>
          <w:tab w:val="left" w:leader="dot" w:pos="3383"/>
        </w:tabs>
        <w:spacing w:before="0" w:line="360" w:lineRule="auto"/>
        <w:ind w:firstLine="432" w:firstLineChars="0"/>
        <w:jc w:val="both"/>
        <w:rPr>
          <w:rFonts w:hint="default" w:ascii="Times New Roman" w:hAnsi="Times New Roman" w:eastAsia="宋体" w:cs="Times New Roman"/>
          <w:color w:val="000000" w:themeColor="text1"/>
          <w:lang w:val="en-US" w:eastAsia="zh-CN"/>
          <w14:textFill>
            <w14:solidFill>
              <w14:schemeClr w14:val="tx1"/>
            </w14:solidFill>
          </w14:textFill>
        </w:rPr>
      </w:pPr>
      <w:r>
        <w:rPr>
          <w:rFonts w:hint="default" w:ascii="Times New Roman" w:hAnsi="Times New Roman" w:eastAsia="宋体" w:cs="Times New Roman"/>
          <w:color w:val="000000" w:themeColor="text1"/>
          <w:lang w:val="en-US" w:eastAsia="zh-CN"/>
          <w14:textFill>
            <w14:solidFill>
              <w14:schemeClr w14:val="tx1"/>
            </w14:solidFill>
          </w14:textFill>
        </w:rPr>
        <w:t>也叫桌面演练、沙盘推演，是不调动实际人员、不现场实操、不用真实装备，只在会议室/电脑前，靠文字、方案、图纸、流程图、情景脚本，模拟突发事件、事故、应急处置、业务流程、攻防对抗的模拟演练方式。</w:t>
      </w:r>
    </w:p>
    <w:p>
      <w:pPr>
        <w:pStyle w:val="11"/>
        <w:shd w:val="clear" w:color="auto" w:fill="auto"/>
        <w:tabs>
          <w:tab w:val="left" w:leader="dot" w:pos="3383"/>
        </w:tabs>
        <w:spacing w:line="360" w:lineRule="auto"/>
        <w:ind w:firstLine="432"/>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bookmarkStart w:id="660" w:name="_Toc1643"/>
      <w:bookmarkStart w:id="661" w:name="_Toc3042"/>
      <w:bookmarkStart w:id="662" w:name="_Toc14530"/>
      <w:bookmarkStart w:id="663" w:name="_Toc12986"/>
      <w:bookmarkStart w:id="664" w:name="_Toc11673"/>
      <w:r>
        <w:rPr>
          <w:rFonts w:hint="default" w:ascii="Times New Roman" w:hAnsi="Times New Roman" w:cs="Times New Roman"/>
          <w:color w:val="000000" w:themeColor="text1"/>
          <w:lang w:val="en-US" w:eastAsia="zh-CN"/>
          <w14:textFill>
            <w14:solidFill>
              <w14:schemeClr w14:val="tx1"/>
            </w14:solidFill>
          </w14:textFill>
        </w:rPr>
        <w:t>附录B 安全生产标准化建设评审流程图</w:t>
      </w:r>
      <w:bookmarkEnd w:id="660"/>
      <w:bookmarkEnd w:id="661"/>
      <w:bookmarkEnd w:id="662"/>
      <w:bookmarkEnd w:id="663"/>
      <w:bookmarkEnd w:id="664"/>
    </w:p>
    <w:p>
      <w:pPr>
        <w:widowControl/>
        <w:ind w:firstLine="3373" w:firstLineChars="16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录B</w:t>
      </w:r>
    </w:p>
    <w:p>
      <w:pPr>
        <w:widowControl/>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widowControl/>
        <w:ind w:firstLine="2319" w:firstLineChars="11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安全生产标准化建设评审流程图</w:t>
      </w: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g">
            <w:drawing>
              <wp:anchor distT="0" distB="0" distL="114300" distR="114300" simplePos="0" relativeHeight="251665408" behindDoc="0" locked="0" layoutInCell="1" allowOverlap="1">
                <wp:simplePos x="0" y="0"/>
                <wp:positionH relativeFrom="column">
                  <wp:posOffset>699770</wp:posOffset>
                </wp:positionH>
                <wp:positionV relativeFrom="paragraph">
                  <wp:posOffset>132080</wp:posOffset>
                </wp:positionV>
                <wp:extent cx="3906520" cy="4171315"/>
                <wp:effectExtent l="13970" t="4445" r="3810" b="15240"/>
                <wp:wrapNone/>
                <wp:docPr id="84" name="组合 84"/>
                <wp:cNvGraphicFramePr/>
                <a:graphic xmlns:a="http://schemas.openxmlformats.org/drawingml/2006/main">
                  <a:graphicData uri="http://schemas.microsoft.com/office/word/2010/wordprocessingGroup">
                    <wpg:wgp>
                      <wpg:cNvGrpSpPr/>
                      <wpg:grpSpPr>
                        <a:xfrm>
                          <a:off x="0" y="0"/>
                          <a:ext cx="3906520" cy="4171223"/>
                          <a:chOff x="8657" y="451280"/>
                          <a:chExt cx="6122" cy="6535"/>
                        </a:xfrm>
                      </wpg:grpSpPr>
                      <wps:wsp>
                        <wps:cNvPr id="85" name="矩形 29"/>
                        <wps:cNvSpPr/>
                        <wps:spPr>
                          <a:xfrm>
                            <a:off x="11591" y="456309"/>
                            <a:ext cx="565" cy="766"/>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lang w:val="en-US" w:eastAsia="zh-CN"/>
                                </w:rPr>
                              </w:pPr>
                              <w:r>
                                <w:rPr>
                                  <w:rFonts w:hint="eastAsia" w:eastAsia="宋体"/>
                                  <w:lang w:val="en-US" w:eastAsia="zh-CN"/>
                                </w:rPr>
                                <w:t>通</w:t>
                              </w:r>
                            </w:p>
                            <w:p>
                              <w:pPr>
                                <w:rPr>
                                  <w:rFonts w:eastAsia="宋体"/>
                                  <w:lang w:val="en-US" w:eastAsia="zh-CN"/>
                                </w:rPr>
                              </w:pPr>
                              <w:r>
                                <w:rPr>
                                  <w:rFonts w:hint="eastAsia" w:eastAsia="宋体"/>
                                  <w:lang w:val="en-US" w:eastAsia="zh-CN"/>
                                </w:rPr>
                                <w:t>过</w:t>
                              </w:r>
                            </w:p>
                          </w:txbxContent>
                        </wps:txbx>
                        <wps:bodyPr upright="1"/>
                      </wps:wsp>
                      <wps:wsp>
                        <wps:cNvPr id="86" name="直线 32"/>
                        <wps:cNvCnPr/>
                        <wps:spPr>
                          <a:xfrm>
                            <a:off x="9773" y="452933"/>
                            <a:ext cx="1534" cy="1"/>
                          </a:xfrm>
                          <a:prstGeom prst="line">
                            <a:avLst/>
                          </a:prstGeom>
                          <a:ln w="9525" cap="flat" cmpd="sng">
                            <a:solidFill>
                              <a:srgbClr val="000000"/>
                            </a:solidFill>
                            <a:prstDash val="solid"/>
                            <a:headEnd type="none" w="med" len="med"/>
                            <a:tailEnd type="arrow" w="med" len="med"/>
                          </a:ln>
                        </wps:spPr>
                        <wps:bodyPr/>
                      </wps:wsp>
                      <wps:wsp>
                        <wps:cNvPr id="87" name="矩形 2"/>
                        <wps:cNvSpPr/>
                        <wps:spPr>
                          <a:xfrm>
                            <a:off x="11344" y="453920"/>
                            <a:ext cx="1681" cy="56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宋体"/>
                                  <w:lang w:val="en-US" w:eastAsia="zh-CN"/>
                                </w:rPr>
                              </w:pPr>
                              <w:r>
                                <w:rPr>
                                  <w:rFonts w:hint="eastAsia" w:eastAsia="宋体"/>
                                  <w:lang w:val="en-US" w:eastAsia="zh-CN"/>
                                </w:rPr>
                                <w:t>组织评审</w:t>
                              </w:r>
                            </w:p>
                          </w:txbxContent>
                        </wps:txbx>
                        <wps:bodyPr upright="1"/>
                      </wps:wsp>
                      <wps:wsp>
                        <wps:cNvPr id="88" name="矩形 5"/>
                        <wps:cNvSpPr/>
                        <wps:spPr>
                          <a:xfrm>
                            <a:off x="11356" y="451280"/>
                            <a:ext cx="1681" cy="56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宋体"/>
                                  <w:lang w:val="en-US" w:eastAsia="zh-CN"/>
                                </w:rPr>
                              </w:pPr>
                              <w:r>
                                <w:rPr>
                                  <w:rFonts w:hint="eastAsia" w:eastAsia="宋体"/>
                                  <w:lang w:val="en-US" w:eastAsia="zh-CN"/>
                                </w:rPr>
                                <w:t>准备阶段</w:t>
                              </w:r>
                            </w:p>
                          </w:txbxContent>
                        </wps:txbx>
                        <wps:bodyPr upright="1"/>
                      </wps:wsp>
                      <wps:wsp>
                        <wps:cNvPr id="89" name="矩形 6"/>
                        <wps:cNvSpPr/>
                        <wps:spPr>
                          <a:xfrm>
                            <a:off x="11368" y="455611"/>
                            <a:ext cx="1681" cy="56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宋体"/>
                                  <w:lang w:val="en-US" w:eastAsia="zh-CN"/>
                                </w:rPr>
                              </w:pPr>
                              <w:r>
                                <w:rPr>
                                  <w:rFonts w:hint="eastAsia" w:eastAsia="宋体"/>
                                  <w:lang w:val="en-US" w:eastAsia="zh-CN"/>
                                </w:rPr>
                                <w:t>评审确认</w:t>
                              </w:r>
                            </w:p>
                          </w:txbxContent>
                        </wps:txbx>
                        <wps:bodyPr upright="1"/>
                      </wps:wsp>
                      <wps:wsp>
                        <wps:cNvPr id="90" name="矩形 7"/>
                        <wps:cNvSpPr/>
                        <wps:spPr>
                          <a:xfrm>
                            <a:off x="11359" y="457251"/>
                            <a:ext cx="1735" cy="56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default" w:eastAsia="宋体"/>
                                  <w:lang w:val="en-US" w:eastAsia="zh-CN"/>
                                </w:rPr>
                              </w:pPr>
                              <w:r>
                                <w:rPr>
                                  <w:rFonts w:hint="eastAsia" w:eastAsia="宋体"/>
                                  <w:lang w:val="en-US" w:eastAsia="zh-CN"/>
                                </w:rPr>
                                <w:t>公示</w:t>
                              </w:r>
                            </w:p>
                          </w:txbxContent>
                        </wps:txbx>
                        <wps:bodyPr upright="1"/>
                      </wps:wsp>
                      <wps:wsp>
                        <wps:cNvPr id="91" name="直线 12"/>
                        <wps:cNvCnPr/>
                        <wps:spPr>
                          <a:xfrm>
                            <a:off x="12233" y="454516"/>
                            <a:ext cx="1" cy="1056"/>
                          </a:xfrm>
                          <a:prstGeom prst="line">
                            <a:avLst/>
                          </a:prstGeom>
                          <a:ln w="9525" cap="flat" cmpd="sng">
                            <a:solidFill>
                              <a:srgbClr val="000000"/>
                            </a:solidFill>
                            <a:prstDash val="solid"/>
                            <a:headEnd type="none" w="med" len="med"/>
                            <a:tailEnd type="arrow" w="med" len="med"/>
                          </a:ln>
                        </wps:spPr>
                        <wps:bodyPr/>
                      </wps:wsp>
                      <wps:wsp>
                        <wps:cNvPr id="92" name="直线 25"/>
                        <wps:cNvCnPr/>
                        <wps:spPr>
                          <a:xfrm flipH="1" flipV="1">
                            <a:off x="10919" y="454975"/>
                            <a:ext cx="1308" cy="1"/>
                          </a:xfrm>
                          <a:prstGeom prst="line">
                            <a:avLst/>
                          </a:prstGeom>
                          <a:ln w="9525" cap="flat" cmpd="sng">
                            <a:solidFill>
                              <a:srgbClr val="000000"/>
                            </a:solidFill>
                            <a:prstDash val="solid"/>
                            <a:headEnd type="none" w="med" len="med"/>
                            <a:tailEnd type="arrow" w="med" len="med"/>
                          </a:ln>
                        </wps:spPr>
                        <wps:bodyPr/>
                      </wps:wsp>
                      <wps:wsp>
                        <wps:cNvPr id="93" name="自选图形 26"/>
                        <wps:cNvSpPr/>
                        <wps:spPr>
                          <a:xfrm>
                            <a:off x="8657" y="454570"/>
                            <a:ext cx="2244" cy="804"/>
                          </a:xfrm>
                          <a:prstGeom prst="diamond">
                            <a:avLst/>
                          </a:prstGeom>
                          <a:solidFill>
                            <a:srgbClr val="FFFFFF"/>
                          </a:solidFill>
                          <a:ln w="9525" cap="flat" cmpd="sng">
                            <a:solidFill>
                              <a:srgbClr val="000000"/>
                            </a:solidFill>
                            <a:prstDash val="solid"/>
                            <a:miter/>
                            <a:headEnd type="none" w="med" len="med"/>
                            <a:tailEnd type="none" w="med" len="med"/>
                          </a:ln>
                        </wps:spPr>
                        <wps:txbx>
                          <w:txbxContent>
                            <w:p>
                              <w:pPr>
                                <w:rPr>
                                  <w:rFonts w:eastAsia="宋体"/>
                                  <w:sz w:val="20"/>
                                  <w:szCs w:val="20"/>
                                  <w:lang w:val="en-US" w:eastAsia="zh-CN"/>
                                </w:rPr>
                              </w:pPr>
                              <w:r>
                                <w:rPr>
                                  <w:rFonts w:hint="eastAsia" w:eastAsia="宋体"/>
                                  <w:sz w:val="20"/>
                                  <w:szCs w:val="20"/>
                                  <w:lang w:val="en-US" w:eastAsia="zh-CN"/>
                                </w:rPr>
                                <w:t>现场评审</w:t>
                              </w:r>
                            </w:p>
                          </w:txbxContent>
                        </wps:txbx>
                        <wps:bodyPr upright="1"/>
                      </wps:wsp>
                      <wps:wsp>
                        <wps:cNvPr id="94" name="直线 27"/>
                        <wps:cNvCnPr/>
                        <wps:spPr>
                          <a:xfrm flipH="1">
                            <a:off x="9803" y="455379"/>
                            <a:ext cx="1" cy="672"/>
                          </a:xfrm>
                          <a:prstGeom prst="line">
                            <a:avLst/>
                          </a:prstGeom>
                          <a:ln w="9525" cap="flat" cmpd="sng">
                            <a:solidFill>
                              <a:srgbClr val="000000"/>
                            </a:solidFill>
                            <a:prstDash val="solid"/>
                            <a:headEnd type="none" w="med" len="med"/>
                            <a:tailEnd type="none" w="med" len="med"/>
                          </a:ln>
                        </wps:spPr>
                        <wps:bodyPr/>
                      </wps:wsp>
                      <wps:wsp>
                        <wps:cNvPr id="95" name="直线 28"/>
                        <wps:cNvCnPr/>
                        <wps:spPr>
                          <a:xfrm>
                            <a:off x="9821" y="456045"/>
                            <a:ext cx="1534" cy="1"/>
                          </a:xfrm>
                          <a:prstGeom prst="line">
                            <a:avLst/>
                          </a:prstGeom>
                          <a:ln w="9525" cap="flat" cmpd="sng">
                            <a:solidFill>
                              <a:srgbClr val="000000"/>
                            </a:solidFill>
                            <a:prstDash val="solid"/>
                            <a:headEnd type="none" w="med" len="med"/>
                            <a:tailEnd type="arrow" w="med" len="med"/>
                          </a:ln>
                        </wps:spPr>
                        <wps:bodyPr/>
                      </wps:wsp>
                      <wps:wsp>
                        <wps:cNvPr id="96" name="直线 30"/>
                        <wps:cNvCnPr>
                          <a:endCxn id="20" idx="0"/>
                        </wps:cNvCnPr>
                        <wps:spPr>
                          <a:xfrm>
                            <a:off x="9773" y="452925"/>
                            <a:ext cx="6" cy="1645"/>
                          </a:xfrm>
                          <a:prstGeom prst="line">
                            <a:avLst/>
                          </a:prstGeom>
                          <a:ln w="9525" cap="flat" cmpd="sng">
                            <a:solidFill>
                              <a:srgbClr val="000000"/>
                            </a:solidFill>
                            <a:prstDash val="solid"/>
                            <a:headEnd type="none" w="med" len="med"/>
                            <a:tailEnd type="none" w="med" len="med"/>
                          </a:ln>
                        </wps:spPr>
                        <wps:bodyPr/>
                      </wps:wsp>
                      <wps:wsp>
                        <wps:cNvPr id="97" name="矩形 33"/>
                        <wps:cNvSpPr/>
                        <wps:spPr>
                          <a:xfrm>
                            <a:off x="10026" y="452383"/>
                            <a:ext cx="1068" cy="4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lang w:val="en-US" w:eastAsia="zh-CN"/>
                                </w:rPr>
                              </w:pPr>
                              <w:r>
                                <w:rPr>
                                  <w:rFonts w:hint="eastAsia" w:eastAsia="宋体"/>
                                  <w:lang w:val="en-US" w:eastAsia="zh-CN"/>
                                </w:rPr>
                                <w:t>不合格</w:t>
                              </w:r>
                            </w:p>
                          </w:txbxContent>
                        </wps:txbx>
                        <wps:bodyPr upright="1"/>
                      </wps:wsp>
                      <wps:wsp>
                        <wps:cNvPr id="98" name="矩形 36"/>
                        <wps:cNvSpPr/>
                        <wps:spPr>
                          <a:xfrm>
                            <a:off x="10391" y="455509"/>
                            <a:ext cx="792" cy="4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lang w:val="en-US" w:eastAsia="zh-CN"/>
                                </w:rPr>
                              </w:pPr>
                              <w:r>
                                <w:rPr>
                                  <w:rFonts w:hint="eastAsia" w:eastAsia="宋体"/>
                                  <w:lang w:val="en-US" w:eastAsia="zh-CN"/>
                                </w:rPr>
                                <w:t>合格</w:t>
                              </w:r>
                            </w:p>
                          </w:txbxContent>
                        </wps:txbx>
                        <wps:bodyPr upright="1"/>
                      </wps:wsp>
                      <wps:wsp>
                        <wps:cNvPr id="99" name="矩形 3"/>
                        <wps:cNvSpPr/>
                        <wps:spPr>
                          <a:xfrm>
                            <a:off x="11368" y="452660"/>
                            <a:ext cx="1681" cy="564"/>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宋体"/>
                                  <w:lang w:val="en-US" w:eastAsia="zh-CN"/>
                                </w:rPr>
                              </w:pPr>
                              <w:r>
                                <w:rPr>
                                  <w:rFonts w:hint="eastAsia" w:eastAsia="宋体"/>
                                  <w:lang w:val="en-US" w:eastAsia="zh-CN"/>
                                </w:rPr>
                                <w:t>收集资料</w:t>
                              </w:r>
                            </w:p>
                          </w:txbxContent>
                        </wps:txbx>
                        <wps:bodyPr upright="1"/>
                      </wps:wsp>
                      <wps:wsp>
                        <wps:cNvPr id="100" name="直线 38"/>
                        <wps:cNvCnPr/>
                        <wps:spPr>
                          <a:xfrm>
                            <a:off x="13055" y="455898"/>
                            <a:ext cx="1724" cy="10"/>
                          </a:xfrm>
                          <a:prstGeom prst="line">
                            <a:avLst/>
                          </a:prstGeom>
                          <a:ln w="9525" cap="flat" cmpd="sng">
                            <a:solidFill>
                              <a:srgbClr val="000000"/>
                            </a:solidFill>
                            <a:prstDash val="solid"/>
                            <a:headEnd type="none" w="med" len="med"/>
                            <a:tailEnd type="none" w="med" len="med"/>
                          </a:ln>
                        </wps:spPr>
                        <wps:bodyPr/>
                      </wps:wsp>
                      <wps:wsp>
                        <wps:cNvPr id="101" name="矩形 39"/>
                        <wps:cNvSpPr/>
                        <wps:spPr>
                          <a:xfrm>
                            <a:off x="13271" y="455365"/>
                            <a:ext cx="1224" cy="48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sz w:val="21"/>
                                  <w:szCs w:val="21"/>
                                  <w:lang w:val="en-US" w:eastAsia="zh-CN"/>
                                </w:rPr>
                              </w:pPr>
                              <w:r>
                                <w:rPr>
                                  <w:rFonts w:hint="eastAsia" w:eastAsia="宋体"/>
                                  <w:sz w:val="21"/>
                                  <w:szCs w:val="21"/>
                                  <w:lang w:val="en-US" w:eastAsia="zh-CN"/>
                                </w:rPr>
                                <w:t>不通过</w:t>
                              </w:r>
                            </w:p>
                          </w:txbxContent>
                        </wps:txbx>
                        <wps:bodyPr upright="1"/>
                      </wps:wsp>
                    </wpg:wgp>
                  </a:graphicData>
                </a:graphic>
              </wp:anchor>
            </w:drawing>
          </mc:Choice>
          <mc:Fallback>
            <w:pict>
              <v:group id="_x0000_s1026" o:spid="_x0000_s1026" o:spt="203" style="position:absolute;left:0pt;margin-left:55.1pt;margin-top:10.4pt;height:328.45pt;width:307.6pt;z-index:251665408;mso-width-relative:page;mso-height-relative:page;" coordorigin="8657,451280" coordsize="6122,6535" o:gfxdata="UEsFBgAAAAAAAAAAAAAAAAAAAAAAAFBLAwQKAAAAAACHTuJAAAAAAAAAAAAAAAAABAAAAGRycy9Q&#10;SwMEFAAAAAgAh07iQK309nXZAAAACgEAAA8AAABkcnMvZG93bnJldi54bWxNj0FLw0AQhe+C/2EZ&#10;wZvdTbRNidkUKeqpCLaC9LbNTpPQ7GzIbpP23zue9PiYjzffK1YX14kRh9B60pDMFAikytuWag1f&#10;u7eHJYgQDVnTeUINVwywKm9vCpNbP9EnjttYCy6hkBsNTYx9LmWoGnQmzHyPxLejH5yJHIda2sFM&#10;XO46mSq1kM60xB8a0+O6weq0PTsN75OZXh6T13FzOq6v+93843uToNb3d4l6BhHxEv9g+NVndSjZ&#10;6eDPZIPoOCcqZVRDqngCA1k6fwJx0LDIsgxkWcj/E8ofUEsDBBQAAAAIAIdO4kCGtxCAQgUAAEso&#10;AAAOAAAAZHJzL2Uyb0RvYy54bWztWk1v4zYQvRfofxB0b6wPU7KEOHtINumhaBfYtndGoi0B+gKp&#10;xM6thwJtb73voUBv7XlPW7T9NcG2/6LDISVbit3YWXSTrZWDQ9kSRc48vpl55PGzZZ4Z14yLtCym&#10;pn1kmQYrojJOi/nU/OrL808mpiFqWsQ0Kws2NW+YMJ+dfPzR8aIKmVMmZRYzbkAnhQgX1dRM6roK&#10;RyMRJSyn4qisWAE/zkqe0xou+XwUc7qA3vNs5FiWN1qUPK54GTEh4Nsz9aOpe+S7dFjOZmnEzsro&#10;KmdFrXrlLKM1TEkkaSXMExztbMai+ovZTLDayKYmzLTGT3gJtC/l5+jkmIZzTqskjfQQ6C5D6M0p&#10;p2kBL227OqM1Na54eqerPI14KcpZfRSV+UhNBC0Cs7Ctnm0ueHlV4Vzm4WJetUYHR/Ws/uBuo8+v&#10;X3AjjafmZGwaBc3B429/+/b2x+8N+AKss6jmIdx0wauX1Quuv5irKznh5Yzn8j9MxViiXW9au7Jl&#10;bUTwpRtYHnHA5BH8NrZ923FcZfkoAffI5yYe8U1D/kxsZ6L9EiXPdQ8ePKIe94hL5LOj5tUjOcJ2&#10;QIsKUClWphLvZqqXCa0YekBIKzSmIq2pfvrl9vefDSdQpsKbWjuJUIDJNhjJtklg69l6roUP07Cx&#10;FvGge2kp3/M6M6VhxUV9wcrckI2pyQHeiDp6/ZmolVGaW+RrRZml8XmaZXjB55enGTeuKSyFc/zT&#10;vXduywpjMTUD4shBUFjfM1hX0MwrwIgo5vi+zhNit47lwM6oSNQAsAf5fhrmac04thJG4+dFbNQ3&#10;FcCwAPox5WByFptGxoCtZAvvrGma7XInoCQrACwSFsoZslUvL5fQjWxelvENePWq4uk8AZPaaBON&#10;InXLfw8nr4XTq9dv3/xpuI4chRwEYO600MuumUED/HbNBb7vajQ5gatXVoMmm7iwsCWc1NRWTzdI&#10;0WDKUjC39McWML0jMCz8Q+v2gLkVGA+FA+W8XGxGzmY8KBCAyREn4O/35XigPE25mkfW/L4Ljbhj&#10;8C2SphsAv+LSaB3vTYBjpOOJh0zeMuaHwCMPgMvAI5C5deCEgVLTyE5wIsBECKdVDB7gFD6Uh7YH&#10;sM009NTCUtCDE2Yj+8DJA0AinIhnY/RZJTn2wE4HluUEkP932MnfN9gRACTCyXdIH04+VAVDsDug&#10;pFkWUBpOKmm290uaZQ3aZM1QcyK3rdGTTpktiIgyLxyy5rtV1GNlzQEoAR3PQ6l6b7lkzLK0+lQW&#10;Qdj6WrZksaNlC9sK7IZdxoGPHa6hwbUgkg01lKq+Nycvj4YGWMQKDX999+vf3/xw++oPVGT2S1bW&#10;5Kcx8XuVlOPIMku6f2LdU0nFKc3LIv63Ovoh2sn7r70PvpgKwOVdllnPV7aIMiuWWeOWYGI1gYa4&#10;fk/s0yW652P0OoQ4s29V9GjEAgllFwCT+8NMx+0OOBfzVc8a9yPKoMqt6blPLKLckWMxHqzJsdLL&#10;rIhPlwXunMidjTTGzY9GQ9S6rdIRt+wCdGRblcOsUg4YA+YbnkLOQAxPKP/sq7ZKct9dGLEsp9HZ&#10;HHfS1+stqZpI34/VNth21w/bP/dJKJuJ5YnpbEFftnX3y11ty213Ewnp7yb6slwa4HQ4u4lBX7ZF&#10;gtmdnWy3lW0dz+uVQoNse2ib07a10m317vR+ebDtWgRSaUyEyQTIrrtL6TvN9jRCbXu0+//sT38o&#10;FZBtrTRWtT/t7nnOxXX8pgYiLhxr6boedJUhND2Rgy54igrOmKHWrc/DyUNs69d4PmJ1BvDk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MoHAABb&#10;Q29udGVudF9UeXBlc10ueG1sUEsBAhQACgAAAAAAh07iQAAAAAAAAAAAAAAAAAYAAAAAAAAAAAAQ&#10;AAAArAYAAF9yZWxzL1BLAQIUABQAAAAIAIdO4kCKFGY80QAAAJQBAAALAAAAAAAAAAEAIAAAANAG&#10;AABfcmVscy8ucmVsc1BLAQIUAAoAAAAAAIdO4kAAAAAAAAAAAAAAAAAEAAAAAAAAAAAAEAAAABYA&#10;AABkcnMvUEsBAhQAFAAAAAgAh07iQK309nXZAAAACgEAAA8AAAAAAAAAAQAgAAAAOAAAAGRycy9k&#10;b3ducmV2LnhtbFBLAQIUABQAAAAIAIdO4kCGtxCAQgUAAEsoAAAOAAAAAAAAAAEAIAAAAD4BAABk&#10;cnMvZTJvRG9jLnhtbFBLBQYAAAAABgAGAFkBAADyCAAAAAA=&#10;">
                <o:lock v:ext="edit" aspectratio="f"/>
                <v:rect id="矩形 29" o:spid="_x0000_s1026" o:spt="1" style="position:absolute;left:11591;top:456309;height:766;width:565;" fillcolor="#FFFFFF" filled="t" stroked="t" coordsize="21600,21600" o:gfxdata="UEsFBgAAAAAAAAAAAAAAAAAAAAAAAFBLAwQKAAAAAACHTuJAAAAAAAAAAAAAAAAABAAAAGRycy9Q&#10;SwMEFAAAAAgAh07iQGdy5Ga7AAAA2wAAAA8AAABkcnMvZG93bnJldi54bWxFj0uLAjEQhO8L/ofQ&#10;grc146KLjEZBHdGDB5/3JmlnBiedYZL19euNsOCxqKqvqPH0bitxpcaXjhX0ugkIYu1MybmC42H5&#10;PQThA7LByjEpeJCH6aT1NcbUuBvv6LoPuYgQ9ikqKEKoUym9Lsii77qaOHpn11gMUTa5NA3eItxW&#10;8idJfqXFkuNCgTXNC9KX/Z9VsEVcbJ8rrWfZY9PPaH7KyFVKddq9ZAQi0D18wv/ttVEwHMD7S/wB&#10;cvI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Gdy5Ga7AAAA2wAAAA8AAAAAAAAAAQAgAAAAOAAAAGRycy9kb3ducmV2Lnht&#10;bFBLAQIUABQAAAAIAIdO4kAzLwWeOwAAADkAAAAQAAAAAAAAAAEAIAAAACABAABkcnMvc2hhcGV4&#10;bWwueG1sUEsFBgAAAAAGAAYAWwEAAMoDAAAAAA==&#10;">
                  <v:fill on="t" focussize="0,0"/>
                  <v:stroke color="#FFFFFF" joinstyle="miter"/>
                  <v:imagedata o:title=""/>
                  <o:lock v:ext="edit" aspectratio="f"/>
                  <v:textbox>
                    <w:txbxContent>
                      <w:p>
                        <w:pPr>
                          <w:rPr>
                            <w:rFonts w:eastAsia="宋体"/>
                            <w:lang w:val="en-US" w:eastAsia="zh-CN"/>
                          </w:rPr>
                        </w:pPr>
                        <w:r>
                          <w:rPr>
                            <w:rFonts w:hint="eastAsia" w:eastAsia="宋体"/>
                            <w:lang w:val="en-US" w:eastAsia="zh-CN"/>
                          </w:rPr>
                          <w:t>通</w:t>
                        </w:r>
                      </w:p>
                      <w:p>
                        <w:pPr>
                          <w:rPr>
                            <w:rFonts w:eastAsia="宋体"/>
                            <w:lang w:val="en-US" w:eastAsia="zh-CN"/>
                          </w:rPr>
                        </w:pPr>
                        <w:r>
                          <w:rPr>
                            <w:rFonts w:hint="eastAsia" w:eastAsia="宋体"/>
                            <w:lang w:val="en-US" w:eastAsia="zh-CN"/>
                          </w:rPr>
                          <w:t>过</w:t>
                        </w:r>
                      </w:p>
                    </w:txbxContent>
                  </v:textbox>
                </v:rect>
                <v:line id="直线 32" o:spid="_x0000_s1026" o:spt="20" style="position:absolute;left:9773;top:452933;height:1;width:1534;" filled="f" stroked="t" coordsize="21600,21600" o:gfxdata="UEsFBgAAAAAAAAAAAAAAAAAAAAAAAFBLAwQKAAAAAACHTuJAAAAAAAAAAAAAAAAABAAAAGRycy9Q&#10;SwMEFAAAAAgAh07iQDogZWy+AAAA2wAAAA8AAABkcnMvZG93bnJldi54bWxFj0FrwkAUhO8F/8Py&#10;BC+l2USoSHT1oAhpaQ+NDV4f2Wc2mH0bsluT/vtuodDjMDPfMNv9ZDtxp8G3jhVkSQqCuHa65UbB&#10;5/n0tAbhA7LGzjEp+CYP+93sYYu5diN/0L0MjYgQ9jkqMCH0uZS+NmTRJ64njt7VDRZDlEMj9YBj&#10;hNtOLtN0JS22HBcM9nQwVN/KL6ugqcYXXbxdymtXHc+vz4/GvNtJqcU8SzcgAk3hP/zXLrSC9Qp+&#10;v8QfIH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ogZWy+AAAA2wAAAA8AAAAAAAAAAQAgAAAAOAAAAGRycy9kb3ducmV2&#10;LnhtbFBLAQIUABQAAAAIAIdO4kAzLwWeOwAAADkAAAAQAAAAAAAAAAEAIAAAACMBAABkcnMvc2hh&#10;cGV4bWwueG1sUEsFBgAAAAAGAAYAWwEAAM0DAAAAAA==&#10;">
                  <v:fill on="f" focussize="0,0"/>
                  <v:stroke color="#000000" joinstyle="round" endarrow="open"/>
                  <v:imagedata o:title=""/>
                  <o:lock v:ext="edit" aspectratio="f"/>
                </v:line>
                <v:rect id="矩形 2" o:spid="_x0000_s1026" o:spt="1" style="position:absolute;left:11344;top:453920;height:564;width:1681;" fillcolor="#FFFFFF" filled="t" stroked="t" coordsize="21600,21600" o:gfxdata="UEsFBgAAAAAAAAAAAAAAAAAAAAAAAFBLAwQKAAAAAACHTuJAAAAAAAAAAAAAAAAABAAAAGRycy9Q&#10;SwMEFAAAAAgAh07iQOJ/E2K+AAAA2wAAAA8AAABkcnMvZG93bnJldi54bWxFj81uwjAQhO9IfQdr&#10;K/UGNlRqQ4rhAKJqj/m5cFvibZI2XkexgcDT15UqcRzNzDea1Wa0nTjT4FvHGuYzBYK4cqblWkNZ&#10;7KcJCB+QDXaOScOVPGzWD5MVpsZdOKNzHmoRIexT1NCE0KdS+qohi37meuLofbnBYohyqKUZ8BLh&#10;tpMLpV6kxZbjQoM9bRuqfvKT1XBsFyXesuJd2eX+OXyOxffpsNP66XGu3kAEGsM9/N/+MBqSV/j7&#10;En+AXP8C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J/E2K+AAAA2wAAAA8AAAAAAAAAAQAgAAAAOAAAAGRycy9kb3ducmV2&#10;LnhtbFBLAQIUABQAAAAIAIdO4kAzLwWeOwAAADkAAAAQAAAAAAAAAAEAIAAAACMBAABkcnMvc2hh&#10;cGV4bWwueG1sUEsFBgAAAAAGAAYAWwEAAM0DAAAAAA==&#10;">
                  <v:fill on="t" focussize="0,0"/>
                  <v:stroke color="#000000" joinstyle="miter"/>
                  <v:imagedata o:title=""/>
                  <o:lock v:ext="edit" aspectratio="f"/>
                  <v:textbox>
                    <w:txbxContent>
                      <w:p>
                        <w:pPr>
                          <w:jc w:val="center"/>
                          <w:rPr>
                            <w:rFonts w:eastAsia="宋体"/>
                            <w:lang w:val="en-US" w:eastAsia="zh-CN"/>
                          </w:rPr>
                        </w:pPr>
                        <w:r>
                          <w:rPr>
                            <w:rFonts w:hint="eastAsia" w:eastAsia="宋体"/>
                            <w:lang w:val="en-US" w:eastAsia="zh-CN"/>
                          </w:rPr>
                          <w:t>组织评审</w:t>
                        </w:r>
                      </w:p>
                    </w:txbxContent>
                  </v:textbox>
                </v:rect>
                <v:rect id="矩形 5" o:spid="_x0000_s1026" o:spt="1" style="position:absolute;left:11356;top:451280;height:564;width:1681;" fillcolor="#FFFFFF" filled="t" stroked="t" coordsize="21600,21600" o:gfxdata="UEsFBgAAAAAAAAAAAAAAAAAAAAAAAFBLAwQKAAAAAACHTuJAAAAAAAAAAAAAAAAABAAAAGRycy9Q&#10;SwMEFAAAAAgAh07iQJPghxC4AAAA2wAAAA8AAABkcnMvZG93bnJldi54bWxFT02vATEU3b/Ef2iu&#10;xO5pkQhDWRDCkrGxu6b3zcwzvZ1Mi+HX60JieXK+58vWVuJOjS8daxj0FQjizJmScw2ndPM7AeED&#10;ssHKMWl4koflovMzx8S4Bx/ofgy5iCHsE9RQhFAnUvqsIIu+72riyP25xmKIsMmlafARw20lh0qN&#10;pcWSY0OBNa0Kyq7Hm9VwKYcnfB3SrbLTzSjs2/T/dl5r3esO1AxEoDZ8xR/3zmiYxLHxS/wBcvEG&#10;UEsDBBQAAAAIAIdO4kAzLwWeOwAAADkAAAAQAAAAZHJzL3NoYXBleG1sLnhtbLOxr8jNUShLLSrO&#10;zM+zVTLUM1BSSM1Lzk/JzEu3VQoNcdO1UFIoLknMS0nMyc9LtVWqTC1Wsrfj5QIAUEsDBAoAAAAA&#10;AIdO4kAAAAAAAAAAAAAAAAAGAAAAX3JlbHMvUEsDBBQAAAAIAIdO4kDVXCYozAAAAI8BAAALAAAA&#10;X3JlbHMvLnJlbHOlkLFqAzEMhvdA38Fo7/mSoZQQX7ZC1pBCV2Hr7kzOlrHMNXn7uJRCL2TLoEG/&#10;0PcJ7faXMKmZsniOBtZNC4qiZefjYODz9PH6DkoKRocTRzJwJYF997LaHWnCUpdk9ElUpUQxMJaS&#10;tlqLHSmgNJwo1knPOWCpbR50QnvGgfSmbd90/s+AbsFUB2cgH9wG1OmaqvmOHbzNLNyXxnLQ3Pfe&#10;PqJqGTHRV5gqBvNAxYDL8pvW05paoB+b10+aHX/HI81L8U+Yaf7z6sUbuxtQSwMEFAAAAAgAh07i&#10;QFrjEWb3AAAA4gEAABMAAABbQ29udGVudF9UeXBlc10ueG1slZFNT8QgEIbvJv4HMlfTUj0YY0r3&#10;YPWoRtcfMIFpS7YFwmDd/ffS/bgY18QjzLzP+wTq1XYaxUyRrXcKrssKBDntjXW9go/1U3EHghM6&#10;g6N3pGBHDKvm8qJe7wKxyGnHCoaUwr2UrAeakEsfyOVJ5+OEKR9jLwPqDfYkb6rqVmrvErlUpIUB&#10;Td1Sh59jEo/bfH0wiTQyiIfD4tKlAEMYrcaUTeXszI+W4thQ5uR+hwcb+CprgPy1YZmcLzjmXvLT&#10;RGtIvGJMzzhlDWkiS+O/XKS5/BuyWE5c+K6zmso2cptjbzSfrM7RecBAGf1f/PuSO8Hl/oeab1BL&#10;AQIUABQAAAAIAIdO4kBa4xFm9wAAAOIBAAATAAAAAAAAAAEAIAAAAJ8CAABbQ29udGVudF9UeXBl&#10;c10ueG1sUEsBAhQACgAAAAAAh07iQAAAAAAAAAAAAAAAAAYAAAAAAAAAAAAQAAAAhgEAAF9yZWxz&#10;L1BLAQIUABQAAAAIAIdO4kDVXCYozAAAAI8BAAALAAAAAAAAAAEAIAAAAKoBAABfcmVscy8ucmVs&#10;c1BLAQIUAAoAAAAAAIdO4kAAAAAAAAAAAAAAAAAEAAAAAAAAAAAAEAAAABYAAABkcnMvUEsBAhQA&#10;FAAAAAgAh07iQJPghxC4AAAA2wAAAA8AAAAAAAAAAQAgAAAAOAAAAGRycy9kb3ducmV2LnhtbFBL&#10;AQIUABQAAAAIAIdO4kAzLwWeOwAAADkAAAAQAAAAAAAAAAEAIAAAAB0BAABkcnMvc2hhcGV4bWwu&#10;eG1sUEsFBgAAAAAGAAYAWwEAAMcDAAAAAA==&#10;">
                  <v:fill on="t" focussize="0,0"/>
                  <v:stroke color="#000000" joinstyle="miter"/>
                  <v:imagedata o:title=""/>
                  <o:lock v:ext="edit" aspectratio="f"/>
                  <v:textbox>
                    <w:txbxContent>
                      <w:p>
                        <w:pPr>
                          <w:jc w:val="center"/>
                          <w:rPr>
                            <w:rFonts w:eastAsia="宋体"/>
                            <w:lang w:val="en-US" w:eastAsia="zh-CN"/>
                          </w:rPr>
                        </w:pPr>
                        <w:r>
                          <w:rPr>
                            <w:rFonts w:hint="eastAsia" w:eastAsia="宋体"/>
                            <w:lang w:val="en-US" w:eastAsia="zh-CN"/>
                          </w:rPr>
                          <w:t>准备阶段</w:t>
                        </w:r>
                      </w:p>
                    </w:txbxContent>
                  </v:textbox>
                </v:rect>
                <v:rect id="矩形 6" o:spid="_x0000_s1026" o:spt="1" style="position:absolute;left:11368;top:455611;height:564;width:1681;" fillcolor="#FFFFFF" filled="t" stroked="t" coordsize="21600,21600" o:gfxdata="UEsFBgAAAAAAAAAAAAAAAAAAAAAAAFBLAwQKAAAAAACHTuJAAAAAAAAAAAAAAAAABAAAAGRycy9Q&#10;SwMEFAAAAAgAh07iQPysIou7AAAA2wAAAA8AAABkcnMvZG93bnJldi54bWxFj0GLwjAUhO8L/ofw&#10;BG9rooJoNXpQXNaj1ou3Z/Nsq81LaaLW/fUbQfA4zMw3zHzZ2krcqfGlYw2DvgJBnDlTcq7hkG6+&#10;JyB8QDZYOSYNT/KwXHS+5pgY9+Ad3fchFxHCPkENRQh1IqXPCrLo+64mjt7ZNRZDlE0uTYOPCLeV&#10;HCo1lhZLjgsF1rQqKLvub1bDqRwe8G+X/ig73YzCtk0vt+Na6153oGYgArXhE363f42GyRReX+IP&#10;kIt/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PysIou7AAAA2wAAAA8AAAAAAAAAAQAgAAAAOAAAAGRycy9kb3ducmV2Lnht&#10;bFBLAQIUABQAAAAIAIdO4kAzLwWeOwAAADkAAAAQAAAAAAAAAAEAIAAAACABAABkcnMvc2hhcGV4&#10;bWwueG1sUEsFBgAAAAAGAAYAWwEAAMoDAAAAAA==&#10;">
                  <v:fill on="t" focussize="0,0"/>
                  <v:stroke color="#000000" joinstyle="miter"/>
                  <v:imagedata o:title=""/>
                  <o:lock v:ext="edit" aspectratio="f"/>
                  <v:textbox>
                    <w:txbxContent>
                      <w:p>
                        <w:pPr>
                          <w:jc w:val="center"/>
                          <w:rPr>
                            <w:rFonts w:eastAsia="宋体"/>
                            <w:lang w:val="en-US" w:eastAsia="zh-CN"/>
                          </w:rPr>
                        </w:pPr>
                        <w:r>
                          <w:rPr>
                            <w:rFonts w:hint="eastAsia" w:eastAsia="宋体"/>
                            <w:lang w:val="en-US" w:eastAsia="zh-CN"/>
                          </w:rPr>
                          <w:t>评审确认</w:t>
                        </w:r>
                      </w:p>
                    </w:txbxContent>
                  </v:textbox>
                </v:rect>
                <v:rect id="矩形 7" o:spid="_x0000_s1026" o:spt="1" style="position:absolute;left:11359;top:457251;height:564;width:1735;" fillcolor="#FFFFFF" filled="t" stroked="t" coordsize="21600,21600" o:gfxdata="UEsFBgAAAAAAAAAAAAAAAAAAAAAAAFBLAwQKAAAAAACHTuJAAAAAAAAAAAAAAAAABAAAAGRycy9Q&#10;SwMEFAAAAAgAh07iQOhPHcu5AAAA2wAAAA8AAABkcnMvZG93bnJldi54bWxFTz1vwjAQ3ZH4D9Yh&#10;sYENSFUJOBlAIBghLN2u8ZEE4nMUGwj99fVQqePT+15nvW3EkzpfO9YwmyoQxIUzNZcaLvlu8gnC&#10;B2SDjWPS8CYPWTocrDEx7sUnep5DKWII+wQ1VCG0iZS+qMiin7qWOHJX11kMEXalNB2+Yrht5Fyp&#10;D2mx5thQYUubior7+WE1fNfzC/6c8r2yy90iHPv89vjaaj0ezdQKRKA+/Iv/3AejYRnXxy/xB8j0&#10;F1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DoTx3LuQAAANsAAAAPAAAAAAAAAAEAIAAAADgAAABkcnMvZG93bnJldi54bWxQ&#10;SwECFAAUAAAACACHTuJAMy8FnjsAAAA5AAAAEAAAAAAAAAABACAAAAAeAQAAZHJzL3NoYXBleG1s&#10;LnhtbFBLBQYAAAAABgAGAFsBAADIAwAAAAA=&#10;">
                  <v:fill on="t" focussize="0,0"/>
                  <v:stroke color="#000000" joinstyle="miter"/>
                  <v:imagedata o:title=""/>
                  <o:lock v:ext="edit" aspectratio="f"/>
                  <v:textbox>
                    <w:txbxContent>
                      <w:p>
                        <w:pPr>
                          <w:jc w:val="center"/>
                          <w:rPr>
                            <w:rFonts w:hint="default" w:eastAsia="宋体"/>
                            <w:lang w:val="en-US" w:eastAsia="zh-CN"/>
                          </w:rPr>
                        </w:pPr>
                        <w:r>
                          <w:rPr>
                            <w:rFonts w:hint="eastAsia" w:eastAsia="宋体"/>
                            <w:lang w:val="en-US" w:eastAsia="zh-CN"/>
                          </w:rPr>
                          <w:t>公示</w:t>
                        </w:r>
                      </w:p>
                    </w:txbxContent>
                  </v:textbox>
                </v:rect>
                <v:line id="直线 12" o:spid="_x0000_s1026" o:spt="20" style="position:absolute;left:12233;top:454516;height:1056;width:1;" filled="f" stroked="t" coordsize="21600,21600" o:gfxdata="UEsFBgAAAAAAAAAAAAAAAAAAAAAAAFBLAwQKAAAAAACHTuJAAAAAAAAAAAAAAAAABAAAAGRycy9Q&#10;SwMEFAAAAAgAh07iQDAQa8W+AAAA2wAAAA8AAABkcnMvZG93bnJldi54bWxFj0FrwkAUhO8F/8Py&#10;hF6KbiJYNLp6sBRssQej4vWRfWaD2bchu5r037tCocdhZr5hluve1uJOra8cK0jHCQjiwumKSwXH&#10;w+doBsIHZI21Y1LwSx7Wq8HLEjPtOt7TPQ+liBD2GSowITSZlL4wZNGPXUMcvYtrLYYo21LqFrsI&#10;t7WcJMm7tFhxXDDY0MZQcc1vVkF56r70dnfOL/Xp4/A9fTPmx/ZKvQ7TZAEiUB/+w3/trVYwT+H5&#10;Jf4AuXoA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DAQa8W+AAAA2wAAAA8AAAAAAAAAAQAgAAAAOAAAAGRycy9kb3ducmV2&#10;LnhtbFBLAQIUABQAAAAIAIdO4kAzLwWeOwAAADkAAAAQAAAAAAAAAAEAIAAAACMBAABkcnMvc2hh&#10;cGV4bWwueG1sUEsFBgAAAAAGAAYAWwEAAM0DAAAAAA==&#10;">
                  <v:fill on="f" focussize="0,0"/>
                  <v:stroke color="#000000" joinstyle="round" endarrow="open"/>
                  <v:imagedata o:title=""/>
                  <o:lock v:ext="edit" aspectratio="f"/>
                </v:line>
                <v:line id="直线 25" o:spid="_x0000_s1026" o:spt="20" style="position:absolute;left:10919;top:454975;flip:x y;height:1;width:1308;" filled="f" stroked="t" coordsize="21600,21600" o:gfxdata="UEsFBgAAAAAAAAAAAAAAAAAAAAAAAFBLAwQKAAAAAACHTuJAAAAAAAAAAAAAAAAABAAAAGRycy9Q&#10;SwMEFAAAAAgAh07iQFC66ky+AAAA2wAAAA8AAABkcnMvZG93bnJldi54bWxFj0trwzAQhO+B/Aex&#10;gd4aKaGUxLUcyKPQEnLIg5wXa2u5tVbGUhO3v74KFHIcZuYbJl/0rhEX6kLtWcNkrEAQl97UXGk4&#10;HV8fZyBCRDbYeCYNPxRgUQwHOWbGX3lPl0OsRIJwyFCDjbHNpAylJYdh7Fvi5H34zmFMsquk6fCa&#10;4K6RU6WepcOa04LFllaWyq/Dt9MgnTurzfnztEG7Xfnd0+97v1xr/TCaqBcQkfp4D/+334yG+RRu&#10;X9IPkMUf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FC66ky+AAAA2wAAAA8AAAAAAAAAAQAgAAAAOAAAAGRycy9kb3ducmV2&#10;LnhtbFBLAQIUABQAAAAIAIdO4kAzLwWeOwAAADkAAAAQAAAAAAAAAAEAIAAAACMBAABkcnMvc2hh&#10;cGV4bWwueG1sUEsFBgAAAAAGAAYAWwEAAM0DAAAAAA==&#10;">
                  <v:fill on="f" focussize="0,0"/>
                  <v:stroke color="#000000" joinstyle="round" endarrow="open"/>
                  <v:imagedata o:title=""/>
                  <o:lock v:ext="edit" aspectratio="f"/>
                </v:line>
                <v:shape id="自选图形 26" o:spid="_x0000_s1026" o:spt="4" type="#_x0000_t4" style="position:absolute;left:8657;top:454570;height:804;width:2244;" fillcolor="#FFFFFF" filled="t" stroked="t" coordsize="21600,21600" o:gfxdata="UEsFBgAAAAAAAAAAAAAAAAAAAAAAAFBLAwQKAAAAAACHTuJAAAAAAAAAAAAAAAAABAAAAGRycy9Q&#10;SwMEFAAAAAgAh07iQNhhp4C8AAAA2wAAAA8AAABkcnMvZG93bnJldi54bWxFj0FrAjEUhO8F/0N4&#10;Qm810UKxq9GDIEjrxdUf8Lp5blY3L2uS7tp/3xQKHoeZ+YZZru+uFT2F2HjWMJ0oEMSVNw3XGk7H&#10;7cscREzIBlvPpOGHIqxXo6clFsYPfKC+TLXIEI4FarApdYWUsbLkME58R5y9sw8OU5ahlibgkOGu&#10;lTOl3qTDhvOCxY42lqpr+e00XL46O+znt7Mqq9DLj33Y3Q6fWj+Pp2oBItE9PcL/7Z3R8P4Kf1/y&#10;D5CrX1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DYYaeA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rPr>
                            <w:rFonts w:eastAsia="宋体"/>
                            <w:sz w:val="20"/>
                            <w:szCs w:val="20"/>
                            <w:lang w:val="en-US" w:eastAsia="zh-CN"/>
                          </w:rPr>
                        </w:pPr>
                        <w:r>
                          <w:rPr>
                            <w:rFonts w:hint="eastAsia" w:eastAsia="宋体"/>
                            <w:sz w:val="20"/>
                            <w:szCs w:val="20"/>
                            <w:lang w:val="en-US" w:eastAsia="zh-CN"/>
                          </w:rPr>
                          <w:t>现场评审</w:t>
                        </w:r>
                      </w:p>
                    </w:txbxContent>
                  </v:textbox>
                </v:shape>
                <v:line id="直线 27" o:spid="_x0000_s1026" o:spt="20" style="position:absolute;left:9803;top:455379;flip:x;height:672;width:1;" filled="f" stroked="t" coordsize="21600,21600" o:gfxdata="UEsFBgAAAAAAAAAAAAAAAAAAAAAAAFBLAwQKAAAAAACHTuJAAAAAAAAAAAAAAAAABAAAAGRycy9Q&#10;SwMEFAAAAAgAh07iQATa69u9AAAA2wAAAA8AAABkcnMvZG93bnJldi54bWxFj91qAjEUhO8LvkM4&#10;gnc18YeiW6OIqAhCQd32+nRz3F3cnCybuOrbG6HQy2FmvmFmi7utREuNLx1rGPQVCOLMmZJzDelp&#10;8z4B4QOywcoxaXiQh8W88zbDxLgbH6g9hlxECPsENRQh1ImUPivIou+7mjh6Z9dYDFE2uTQN3iLc&#10;VnKo1Ie0WHJcKLCmVUHZ5Xi1GpY/+/Xoq/21rjLTPP02NlXboda97kB9ggh0D//hv/bOaJiO4fUl&#10;/gA5fwJ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BNrr270AAADbAAAADwAAAAAAAAABACAAAAA4AAAAZHJzL2Rvd25yZXYu&#10;eG1sUEsBAhQAFAAAAAgAh07iQDMvBZ47AAAAOQAAABAAAAAAAAAAAQAgAAAAIgEAAGRycy9zaGFw&#10;ZXhtbC54bWxQSwUGAAAAAAYABgBbAQAAzAMAAAAA&#10;">
                  <v:fill on="f" focussize="0,0"/>
                  <v:stroke color="#000000" joinstyle="round"/>
                  <v:imagedata o:title=""/>
                  <o:lock v:ext="edit" aspectratio="f"/>
                </v:line>
                <v:line id="直线 28" o:spid="_x0000_s1026" o:spt="20" style="position:absolute;left:9821;top:456045;height:1;width:1534;" filled="f" stroked="t" coordsize="21600,21600" o:gfxdata="UEsFBgAAAAAAAAAAAAAAAAAAAAAAAFBLAwQKAAAAAACHTuJAAAAAAAAAAAAAAAAABAAAAGRycy9Q&#10;SwMEFAAAAAgAh07iQE8rbca/AAAA2wAAAA8AAABkcnMvZG93bnJldi54bWxFj0FrwkAUhO8F/8Py&#10;BC9FNwoWm2b1oBS0tAeTitdH9iUbmn0bslsT/323UOhxmJlvmGw32lbcqPeNYwXLRQKCuHS64VrB&#10;Z/E634DwAVlj65gU3MnDbjt5yDDVbuAz3fJQiwhhn6ICE0KXSulLQxb9wnXE0atcbzFE2ddS9zhE&#10;uG3lKkmepMWG44LBjvaGyq/82yqoL8NJH9+vedVeDsXb+tGYDzsqNZsukxcQgcbwH/5rH7WC5zX8&#10;fok/QG5/AFBLAwQUAAAACACHTuJAMy8FnjsAAAA5AAAAEAAAAGRycy9zaGFwZXhtbC54bWyzsa/I&#10;zVEoSy0qzszPs1Uy1DNQUkjNS85PycxLt1UKDXHTtVBSKC5JzEtJzMnPS7VVqkwtVrK34+UCAFBL&#10;AwQKAAAAAACHTuJAAAAAAAAAAAAAAAAABgAAAF9yZWxzL1BLAwQUAAAACACHTuJA1VwmKMwAAACP&#10;AQAACwAAAF9yZWxzLy5yZWxzpZCxagMxDIb3QN/BaO/5kqGUEF+2QtaQQldh6+5MzpaxzDV5+7iU&#10;Qi9ky6BBv9D3Ce32lzCpmbJ4jgbWTQuKomXn42Dg8/Tx+g5KCkaHE0cycCWBffey2h1pwlKXZPRJ&#10;VKVEMTCWkrZaix0poDScKNZJzzlgqW0edEJ7xoH0pm3fdP7PgG7BVAdnIB/cBtTpmqr5jh28zSzc&#10;l8Zy0Nz33j6iahkx0VeYKgbzQMWAy/Kb1tOaWqAfm9dPmh1/xyPNS/FPmGn+8+rFG7sbUEsDBBQA&#10;AAAIAIdO4kBa4xFm9wAAAOIBAAATAAAAW0NvbnRlbnRfVHlwZXNdLnhtbJWRTU/EIBCG7yb+BzJX&#10;01I9GGNK92D1qEbXHzCBaUu2BcJg3f330v24GNfEI8y8z/sE6tV2GsVMka13Cq7LCgQ57Y11vYKP&#10;9VNxB4ITOoOjd6RgRwyr5vKiXu8CschpxwqGlMK9lKwHmpBLH8jlSefjhCkfYy8D6g32JG+q6lZq&#10;7xK5VKSFAU3dUoefYxKP23x9MIk0MoiHw+LSpQBDGK3GlE3l7MyPluLYUObkfocHG/gqa4D8tWGZ&#10;nC845l7y00RrSLxiTM84ZQ1pIkvjv1ykufwbslhOXPius5rKNnKbY280n6zO0XnAQBn9X/z7kjvB&#10;5f6Hmm9QSwECFAAUAAAACACHTuJAWuMRZvcAAADiAQAAEwAAAAAAAAABACAAAACmAgAAW0NvbnRl&#10;bnRfVHlwZXNdLnhtbFBLAQIUAAoAAAAAAIdO4kAAAAAAAAAAAAAAAAAGAAAAAAAAAAAAEAAAAI0B&#10;AABfcmVscy9QSwECFAAUAAAACACHTuJA1VwmKMwAAACPAQAACwAAAAAAAAABACAAAACxAQAAX3Jl&#10;bHMvLnJlbHNQSwECFAAKAAAAAACHTuJAAAAAAAAAAAAAAAAABAAAAAAAAAAAABAAAAAWAAAAZHJz&#10;L1BLAQIUABQAAAAIAIdO4kBPK23GvwAAANsAAAAPAAAAAAAAAAEAIAAAADgAAABkcnMvZG93bnJl&#10;di54bWxQSwECFAAUAAAACACHTuJAMy8FnjsAAAA5AAAAEAAAAAAAAAABACAAAAAkAQAAZHJzL3No&#10;YXBleG1sLnhtbFBLBQYAAAAABgAGAFsBAADOAwAAAAA=&#10;">
                  <v:fill on="f" focussize="0,0"/>
                  <v:stroke color="#000000" joinstyle="round" endarrow="open"/>
                  <v:imagedata o:title=""/>
                  <o:lock v:ext="edit" aspectratio="f"/>
                </v:line>
                <v:line id="直线 30" o:spid="_x0000_s1026" o:spt="20" style="position:absolute;left:9773;top:452925;height:1645;width:6;" filled="f" stroked="t" coordsize="21600,21600" o:gfxdata="UEsFBgAAAAAAAAAAAAAAAAAAAAAAAFBLAwQKAAAAAACHTuJAAAAAAAAAAAAAAAAABAAAAGRycy9Q&#10;SwMEFAAAAAgAh07iQKpK7h2+AAAA2wAAAA8AAABkcnMvZG93bnJldi54bWxFj0FrwkAUhO+C/2F5&#10;Qi9ido0Q2ujqQRvowYu2pddH9jUJzb6N2W1M++vdQsHjMDPfMJvdaFsxUO8bxxqWiQJBXDrTcKXh&#10;7bVYPILwAdlg65g0/JCH3XY62WBu3JVPNJxDJSKEfY4a6hC6XEpf1mTRJ64jjt6n6y2GKPtKmh6v&#10;EW5bmSqVSYsNx4UaO9rXVH6dv60GX7zTpfidl3P1saocpZfD8Rm1fpgt1RpEoDHcw//tF6PhKYO/&#10;L/EHyO0N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KpK7h2+AAAA2wAAAA8AAAAAAAAAAQAgAAAAOAAAAGRycy9kb3ducmV2&#10;LnhtbFBLAQIUABQAAAAIAIdO4kAzLwWeOwAAADkAAAAQAAAAAAAAAAEAIAAAACMBAABkcnMvc2hh&#10;cGV4bWwueG1sUEsFBgAAAAAGAAYAWwEAAM0DAAAAAA==&#10;">
                  <v:fill on="f" focussize="0,0"/>
                  <v:stroke color="#000000" joinstyle="round"/>
                  <v:imagedata o:title=""/>
                  <o:lock v:ext="edit" aspectratio="f"/>
                </v:line>
                <v:rect id="矩形 33" o:spid="_x0000_s1026" o:spt="1" style="position:absolute;left:10026;top:452383;height:480;width:1068;" fillcolor="#FFFFFF" filled="t" stroked="t" coordsize="21600,21600" o:gfxdata="UEsFBgAAAAAAAAAAAAAAAAAAAAAAAFBLAwQKAAAAAACHTuJAAAAAAAAAAAAAAAAABAAAAGRycy9Q&#10;SwMEFAAAAAgAh07iQH01SVe9AAAA2wAAAA8AAABkcnMvZG93bnJldi54bWxFj0FrwkAUhO+C/2F5&#10;gjfdWMS20U2gNqUePFhb74/d1yQ0+zZktyb6612h0OMwM98wm3ywjThT52vHChbzBASxdqbmUsHX&#10;59vsCYQPyAYbx6TgQh7ybDzaYGpczx90PoZSRAj7FBVUIbSplF5XZNHPXUscvW/XWQxRdqU0HfYR&#10;bhv5kCQrabHmuFBhS9uK9M/x1yo4IL4eru9avxSX/bKg7akg1yg1nSySNYhAQ/gP/7V3RsHzI9y/&#10;xB8gsxtQSwMEFAAAAAgAh07iQDMvBZ47AAAAOQAAABAAAABkcnMvc2hhcGV4bWwueG1ss7GvyM1R&#10;KEstKs7Mz7NVMtQzUFJIzUvOT8nMS7dVCg1x07VQUiguScxLSczJz0u1VapMLVayt+PlAgBQSwME&#10;CgAAAAAAh07iQAAAAAAAAAAAAAAAAAYAAABfcmVscy9QSwMEFAAAAAgAh07iQNVcJijMAAAAjwEA&#10;AAsAAABfcmVscy8ucmVsc6WQsWoDMQyG90DfwWjv+ZKhlBBftkLWkEJXYevuTM6Wscw1efu4lEIv&#10;ZMugQb/Q9wnt9pcwqZmyeI4G1k0LiqJl5+Ng4PP08foOSgpGhxNHMnAlgX33stodacJSl2T0SVSl&#10;RDEwlpK2WosdKaA0nCjWSc85YKltHnRCe8aB9KZt33T+z4BuwVQHZyAf3AbU6Zqq+Y4dvM0s3JfG&#10;ctDc994+omoZMdFXmCoG80DFgMvym9bTmlqgH5vXT5odf8cjzUvxT5hp/vPqxRu7G1BLAwQUAAAA&#10;CACHTuJAWuMRZvcAAADiAQAAEwAAAFtDb250ZW50X1R5cGVzXS54bWyVkU1PxCAQhu8m/gcyV9NS&#10;PRhjSvdg9ahG1x8wgWlLtgXCYN3999L9uBjXxCPMvM/7BOrVdhrFTJGtdwquywoEOe2Ndb2Cj/VT&#10;cQeCEzqDo3ekYEcMq+byol7vArHIaccKhpTCvZSsB5qQSx/I5Unn44QpH2MvA+oN9iRvqupWau8S&#10;uVSkhQFN3VKHn2MSj9t8fTCJNDKIh8Pi0qUAQxitxpRN5ezMj5bi2FDm5H6HBxv4KmuA/LVhmZwv&#10;OOZe8tNEa0i8YkzPOGUNaSJL479cpLn8G7JYTlz4rrOayjZym2NvNJ+sztF5wEAZ/V/8+5I7weX+&#10;h5pvUEsBAhQAFAAAAAgAh07iQFrjEWb3AAAA4gEAABMAAAAAAAAAAQAgAAAApAIAAFtDb250ZW50&#10;X1R5cGVzXS54bWxQSwECFAAKAAAAAACHTuJAAAAAAAAAAAAAAAAABgAAAAAAAAAAABAAAACLAQAA&#10;X3JlbHMvUEsBAhQAFAAAAAgAh07iQNVcJijMAAAAjwEAAAsAAAAAAAAAAQAgAAAArwEAAF9yZWxz&#10;Ly5yZWxzUEsBAhQACgAAAAAAh07iQAAAAAAAAAAAAAAAAAQAAAAAAAAAAAAQAAAAFgAAAGRycy9Q&#10;SwECFAAUAAAACACHTuJAfTVJV70AAADbAAAADwAAAAAAAAABACAAAAA4AAAAZHJzL2Rvd25yZXYu&#10;eG1sUEsBAhQAFAAAAAgAh07iQDMvBZ47AAAAOQAAABAAAAAAAAAAAQAgAAAAIgEAAGRycy9zaGFw&#10;ZXhtbC54bWxQSwUGAAAAAAYABgBbAQAAzAMAAAAA&#10;">
                  <v:fill on="t" focussize="0,0"/>
                  <v:stroke color="#FFFFFF" joinstyle="miter"/>
                  <v:imagedata o:title=""/>
                  <o:lock v:ext="edit" aspectratio="f"/>
                  <v:textbox>
                    <w:txbxContent>
                      <w:p>
                        <w:pPr>
                          <w:rPr>
                            <w:rFonts w:eastAsia="宋体"/>
                            <w:lang w:val="en-US" w:eastAsia="zh-CN"/>
                          </w:rPr>
                        </w:pPr>
                        <w:r>
                          <w:rPr>
                            <w:rFonts w:hint="eastAsia" w:eastAsia="宋体"/>
                            <w:lang w:val="en-US" w:eastAsia="zh-CN"/>
                          </w:rPr>
                          <w:t>不合格</w:t>
                        </w:r>
                      </w:p>
                    </w:txbxContent>
                  </v:textbox>
                </v:rect>
                <v:rect id="矩形 36" o:spid="_x0000_s1026" o:spt="1" style="position:absolute;left:10391;top:455509;height:480;width:792;" fillcolor="#FFFFFF" filled="t" stroked="t" coordsize="21600,21600" o:gfxdata="UEsFBgAAAAAAAAAAAAAAAAAAAAAAAFBLAwQKAAAAAACHTuJAAAAAAAAAAAAAAAAABAAAAGRycy9Q&#10;SwMEFAAAAAgAh07iQAyq3SW5AAAA2wAAAA8AAABkcnMvZG93bnJldi54bWxFT8uKwjAU3Qv+Q7jC&#10;7DTtIKIdY0GtjAsXvmZ/Se60ZZqb0mR8fb1ZCC4P5z3Pb7YRF+p87VhBOkpAEGtnai4VnE+b4RSE&#10;D8gGG8ek4E4e8kW/N8fMuCsf6HIMpYgh7DNUUIXQZlJ6XZFFP3ItceR+XWcxRNiV0nR4jeG2kZ9J&#10;MpEWa44NFba0qkj/Hf+tgj3iev/41npZ3HfjglY/BblGqY9BmnyBCHQLb/HLvTUKZnFs/BJ/gFw8&#10;AVBLAwQUAAAACACHTuJAMy8FnjsAAAA5AAAAEAAAAGRycy9zaGFwZXhtbC54bWyzsa/IzVEoSy0q&#10;zszPs1Uy1DNQUkjNS85PycxLt1UKDXHTtVBSKC5JzEtJzMnPS7VVqkwtVrK34+UCAFBLAwQKAAAA&#10;AACHTuJAAAAAAAAAAAAAAAAABgAAAF9yZWxzL1BLAwQUAAAACACHTuJA1VwmKMwAAACPAQAACwAA&#10;AF9yZWxzLy5yZWxzpZCxagMxDIb3QN/BaO/5kqGUEF+2QtaQQldh6+5MzpaxzDV5+7iUQi9ky6BB&#10;v9D3Ce32lzCpmbJ4jgbWTQuKomXn42Dg8/Tx+g5KCkaHE0cycCWBffey2h1pwlKXZPRJVKVEMTCW&#10;krZaix0poDScKNZJzzlgqW0edEJ7xoH0pm3fdP7PgG7BVAdnIB/cBtTpmqr5jh28zSzcl8Zy0Nz3&#10;3j6iahkx0VeYKgbzQMWAy/Kb1tOaWqAfm9dPmh1/xyPNS/FPmGn+8+rFG7sbUEsDBBQAAAAIAIdO&#10;4kBa4xFm9wAAAOIBAAATAAAAW0NvbnRlbnRfVHlwZXNdLnhtbJWRTU/EIBCG7yb+BzJX01I9GGNK&#10;92D1qEbXHzCBaUu2BcJg3f330v24GNfEI8y8z/sE6tV2GsVMka13Cq7LCgQ57Y11vYKP9VNxB4IT&#10;OoOjd6RgRwyr5vKiXu8CschpxwqGlMK9lKwHmpBLH8jlSefjhCkfYy8D6g32JG+q6lZq7xK5VKSF&#10;AU3dUoefYxKP23x9MIk0MoiHw+LSpQBDGK3GlE3l7MyPluLYUObkfocHG/gqa4D8tWGZnC845l7y&#10;00RrSLxiTM84ZQ1pIkvjv1ykufwbslhOXPius5rKNnKbY280n6zO0XnAQBn9X/z7kjvB5f6Hmm9Q&#10;SwECFAAUAAAACACHTuJAWuMRZvcAAADiAQAAEwAAAAAAAAABACAAAACgAgAAW0NvbnRlbnRfVHlw&#10;ZXNdLnhtbFBLAQIUAAoAAAAAAIdO4kAAAAAAAAAAAAAAAAAGAAAAAAAAAAAAEAAAAIcBAABfcmVs&#10;cy9QSwECFAAUAAAACACHTuJA1VwmKMwAAACPAQAACwAAAAAAAAABACAAAACrAQAAX3JlbHMvLnJl&#10;bHNQSwECFAAKAAAAAACHTuJAAAAAAAAAAAAAAAAABAAAAAAAAAAAABAAAAAWAAAAZHJzL1BLAQIU&#10;ABQAAAAIAIdO4kAMqt0luQAAANsAAAAPAAAAAAAAAAEAIAAAADgAAABkcnMvZG93bnJldi54bWxQ&#10;SwECFAAUAAAACACHTuJAMy8FnjsAAAA5AAAAEAAAAAAAAAABACAAAAAeAQAAZHJzL3NoYXBleG1s&#10;LnhtbFBLBQYAAAAABgAGAFsBAADIAwAAAAA=&#10;">
                  <v:fill on="t" focussize="0,0"/>
                  <v:stroke color="#FFFFFF" joinstyle="miter"/>
                  <v:imagedata o:title=""/>
                  <o:lock v:ext="edit" aspectratio="f"/>
                  <v:textbox>
                    <w:txbxContent>
                      <w:p>
                        <w:pPr>
                          <w:rPr>
                            <w:rFonts w:eastAsia="宋体"/>
                            <w:lang w:val="en-US" w:eastAsia="zh-CN"/>
                          </w:rPr>
                        </w:pPr>
                        <w:r>
                          <w:rPr>
                            <w:rFonts w:hint="eastAsia" w:eastAsia="宋体"/>
                            <w:lang w:val="en-US" w:eastAsia="zh-CN"/>
                          </w:rPr>
                          <w:t>合格</w:t>
                        </w:r>
                      </w:p>
                    </w:txbxContent>
                  </v:textbox>
                </v:rect>
                <v:rect id="矩形 3" o:spid="_x0000_s1026" o:spt="1" style="position:absolute;left:11368;top:452660;height:564;width:1681;" fillcolor="#FFFFFF" filled="t" stroked="t" coordsize="21600,21600" o:gfxdata="UEsFBgAAAAAAAAAAAAAAAAAAAAAAAFBLAwQKAAAAAACHTuJAAAAAAAAAAAAAAAAABAAAAGRycy9Q&#10;SwMEFAAAAAgAh07iQHl1tFa8AAAA2wAAAA8AAABkcnMvZG93bnJldi54bWxFj0GLwjAUhO/C/ofw&#10;FvamiQpiq9HDLi561Hrx9myebd3mpTRRu/56Iwgeh5n5hpkvO1uLK7W+cqxhOFAgiHNnKi407LNV&#10;fwrCB2SDtWPS8E8elouP3hxT4268pesuFCJC2KeooQyhSaX0eUkW/cA1xNE7udZiiLItpGnxFuG2&#10;liOlJtJixXGhxIa+S8r/dher4ViN9njfZr/KJqtx2HTZ+XL40frrc6hmIAJ14R1+tddGQ5LA80v8&#10;AXLxAFBLAwQUAAAACACHTuJAMy8FnjsAAAA5AAAAEAAAAGRycy9zaGFwZXhtbC54bWyzsa/IzVEo&#10;Sy0qzszPs1Uy1DNQUkjNS85PycxLt1UKDXHTtVBSKC5JzEtJzMnPS7VVqkwtVrK34+UCAFBLAwQK&#10;AAAAAACHTuJAAAAAAAAAAAAAAAAABgAAAF9yZWxzL1BLAwQUAAAACACHTuJA1VwmKMwAAACPAQAA&#10;CwAAAF9yZWxzLy5yZWxzpZCxagMxDIb3QN/BaO/5kqGUEF+2QtaQQldh6+5MzpaxzDV5+7iUQi9k&#10;y6BBv9D3Ce32lzCpmbJ4jgbWTQuKomXn42Dg8/Tx+g5KCkaHE0cycCWBffey2h1pwlKXZPRJVKVE&#10;MTCWkrZaix0poDScKNZJzzlgqW0edEJ7xoH0pm3fdP7PgG7BVAdnIB/cBtTpmqr5jh28zSzcl8Zy&#10;0Nz33j6iahkx0VeYKgbzQMWAy/Kb1tOaWqAfm9dPmh1/xyPNS/FPmGn+8+rFG7sbUEsDBBQAAAAI&#10;AIdO4kBa4xFm9wAAAOIBAAATAAAAW0NvbnRlbnRfVHlwZXNdLnhtbJWRTU/EIBCG7yb+BzJX01I9&#10;GGNK92D1qEbXHzCBaUu2BcJg3f330v24GNfEI8y8z/sE6tV2GsVMka13Cq7LCgQ57Y11vYKP9VNx&#10;B4ITOoOjd6RgRwyr5vKiXu8CschpxwqGlMK9lKwHmpBLH8jlSefjhCkfYy8D6g32JG+q6lZq7xK5&#10;VKSFAU3dUoefYxKP23x9MIk0MoiHw+LSpQBDGK3GlE3l7MyPluLYUObkfocHG/gqa4D8tWGZnC84&#10;5l7y00RrSLxiTM84ZQ1pIkvjv1ykufwbslhOXPius5rKNnKbY280n6zO0XnAQBn9X/z7kjvB5f6H&#10;mm9QSwECFAAUAAAACACHTuJAWuMRZvcAAADiAQAAEwAAAAAAAAABACAAAACjAgAAW0NvbnRlbnRf&#10;VHlwZXNdLnhtbFBLAQIUAAoAAAAAAIdO4kAAAAAAAAAAAAAAAAAGAAAAAAAAAAAAEAAAAIoBAABf&#10;cmVscy9QSwECFAAUAAAACACHTuJA1VwmKMwAAACPAQAACwAAAAAAAAABACAAAACuAQAAX3JlbHMv&#10;LnJlbHNQSwECFAAKAAAAAACHTuJAAAAAAAAAAAAAAAAABAAAAAAAAAAAABAAAAAWAAAAZHJzL1BL&#10;AQIUABQAAAAIAIdO4kB5dbRWvAAAANsAAAAPAAAAAAAAAAEAIAAAADgAAABkcnMvZG93bnJldi54&#10;bWxQSwECFAAUAAAACACHTuJAMy8FnjsAAAA5AAAAEAAAAAAAAAABACAAAAAhAQAAZHJzL3NoYXBl&#10;eG1sLnhtbFBLBQYAAAAABgAGAFsBAADLAwAAAAA=&#10;">
                  <v:fill on="t" focussize="0,0"/>
                  <v:stroke color="#000000" joinstyle="miter"/>
                  <v:imagedata o:title=""/>
                  <o:lock v:ext="edit" aspectratio="f"/>
                  <v:textbox>
                    <w:txbxContent>
                      <w:p>
                        <w:pPr>
                          <w:jc w:val="center"/>
                          <w:rPr>
                            <w:rFonts w:eastAsia="宋体"/>
                            <w:lang w:val="en-US" w:eastAsia="zh-CN"/>
                          </w:rPr>
                        </w:pPr>
                        <w:r>
                          <w:rPr>
                            <w:rFonts w:hint="eastAsia" w:eastAsia="宋体"/>
                            <w:lang w:val="en-US" w:eastAsia="zh-CN"/>
                          </w:rPr>
                          <w:t>收集资料</w:t>
                        </w:r>
                      </w:p>
                    </w:txbxContent>
                  </v:textbox>
                </v:rect>
                <v:line id="直线 38" o:spid="_x0000_s1026" o:spt="20" style="position:absolute;left:13055;top:455898;height:10;width:1724;" filled="f" stroked="t" coordsize="21600,21600" o:gfxdata="UEsFBgAAAAAAAAAAAAAAAAAAAAAAAFBLAwQKAAAAAACHTuJAAAAAAAAAAAAAAAAABAAAAGRycy9Q&#10;SwMEFAAAAAgAh07iQOT9mSe+AAAA3AAAAA8AAABkcnMvZG93bnJldi54bWxFj09vwjAMxe+T+A6R&#10;kXZBkMCkCRUCB6ASBy5jIK5WY9qKxilN+DM+/XyYtJut9/zez/Pl0zfqTl2sA1sYjwwo4iK4mksL&#10;h+98OAUVE7LDJjBZ+KEIy0XvbY6ZCw/+ovs+lUpCOGZooUqpzbSORUUe4yi0xKKdQ+cxydqV2nX4&#10;kHDf6Ikxn9pjzdJQYUuriorL/uYtxPxI1/w1KAbm9FEGmlzXuw1a+94fmxmoRM/0b/673jrBN4Iv&#10;z8gEevELUEsDBBQAAAAIAIdO4kAzLwWeOwAAADkAAAAQAAAAZHJzL3NoYXBleG1sLnhtbLOxr8jN&#10;UShLLSrOzM+zVTLUM1BSSM1Lzk/JzEu3VQoNcdO1UFIoLknMS0nMyc9LtVWqTC1Wsrfj5QIAUEsD&#10;BAoAAAAAAIdO4kAAAAAAAAAAAAAAAAAGAAAAX3JlbHMvUEsDBBQAAAAIAIdO4kDVXCYozAAAAI8B&#10;AAALAAAAX3JlbHMvLnJlbHOlkLFqAzEMhvdA38Fo7/mSoZQQX7ZC1pBCV2Hr7kzOlrHMNXn7uJRC&#10;L2TLoEG/0PcJ7faXMKmZsniOBtZNC4qiZefjYODz9PH6DkoKRocTRzJwJYF997LaHWnCUpdk9ElU&#10;pUQxMJaStlqLHSmgNJwo1knPOWCpbR50QnvGgfSmbd90/s+AbsFUB2cgH9wG1OmaqvmOHbzNLNyX&#10;xnLQ3PfePqJqGTHRV5gqBvNAxYDL8pvW05paoB+b10+aHX/HI81L8U+Yaf7z6sUbuxtQSwMEFAAA&#10;AAgAh07iQFrjEWb3AAAA4gEAABMAAABbQ29udGVudF9UeXBlc10ueG1slZFNT8QgEIbvJv4HMlfT&#10;Uj0YY0r3YPWoRtcfMIFpS7YFwmDd/ffS/bgY18QjzLzP+wTq1XYaxUyRrXcKrssKBDntjXW9go/1&#10;U3EHghM6g6N3pGBHDKvm8qJe7wKxyGnHCoaUwr2UrAeakEsfyOVJ5+OEKR9jLwPqDfYkb6rqVmrv&#10;ErlUpIUBTd1Sh59jEo/bfH0wiTQyiIfD4tKlAEMYrcaUTeXszI+W4thQ5uR+hwcb+CprgPy1YZmc&#10;LzjmXvLTRGtIvGJMzzhlDWkiS+O/XKS5/BuyWE5c+K6zmso2cptjbzSfrM7RecBAGf1f/PuSO8Hl&#10;/oeab1BLAQIUABQAAAAIAIdO4kBa4xFm9wAAAOIBAAATAAAAAAAAAAEAIAAAAKUCAABbQ29udGVu&#10;dF9UeXBlc10ueG1sUEsBAhQACgAAAAAAh07iQAAAAAAAAAAAAAAAAAYAAAAAAAAAAAAQAAAAjAEA&#10;AF9yZWxzL1BLAQIUABQAAAAIAIdO4kDVXCYozAAAAI8BAAALAAAAAAAAAAEAIAAAALABAABfcmVs&#10;cy8ucmVsc1BLAQIUAAoAAAAAAIdO4kAAAAAAAAAAAAAAAAAEAAAAAAAAAAAAEAAAABYAAABkcnMv&#10;UEsBAhQAFAAAAAgAh07iQOT9mSe+AAAA3AAAAA8AAAAAAAAAAQAgAAAAOAAAAGRycy9kb3ducmV2&#10;LnhtbFBLAQIUABQAAAAIAIdO4kAzLwWeOwAAADkAAAAQAAAAAAAAAAEAIAAAACMBAABkcnMvc2hh&#10;cGV4bWwueG1sUEsFBgAAAAAGAAYAWwEAAM0DAAAAAA==&#10;">
                  <v:fill on="f" focussize="0,0"/>
                  <v:stroke color="#000000" joinstyle="round"/>
                  <v:imagedata o:title=""/>
                  <o:lock v:ext="edit" aspectratio="f"/>
                </v:line>
                <v:rect id="矩形 39" o:spid="_x0000_s1026" o:spt="1" style="position:absolute;left:13271;top:455365;height:480;width:1224;" fillcolor="#FFFFFF" filled="t" stroked="t" coordsize="21600,21600" o:gfxdata="UEsFBgAAAAAAAAAAAAAAAAAAAAAAAFBLAwQKAAAAAACHTuJAAAAAAAAAAAAAAAAABAAAAGRycy9Q&#10;SwMEFAAAAAgAh07iQAaIV3m7AAAA3AAAAA8AAABkcnMvZG93bnJldi54bWxFT0trAjEQvgv9D2EK&#10;3jRZEZGt2YXaFXvoQW17H5Jxd3EzWTbx1V/fCIXe5uN7zqq8uU5caAitZw3ZVIEgNt62XGv4+txM&#10;liBCRLbYeSYNdwpQFk+jFebWX3lPl0OsRQrhkKOGJsY+lzKYhhyGqe+JE3f0g8OY4FBLO+A1hbtO&#10;zpRaSIctp4YGe1o3ZE6Hs9OwQ3zb/WyNea3uH/OK1t8V+U7r8XOmXkBEusV/8Z/73ab5KoPHM+kC&#10;WfwCUEsDBBQAAAAIAIdO4kAzLwWeOwAAADkAAAAQAAAAZHJzL3NoYXBleG1sLnhtbLOxr8jNUShL&#10;LSrOzM+zVTLUM1BSSM1Lzk/JzEu3VQoNcdO1UFIoLknMS0nMyc9LtVWqTC1Wsrfj5QIAUEsDBAoA&#10;AAAAAIdO4kAAAAAAAAAAAAAAAAAGAAAAX3JlbHMvUEsDBBQAAAAIAIdO4kDVXCYozAAAAI8BAAAL&#10;AAAAX3JlbHMvLnJlbHOlkLFqAzEMhvdA38Fo7/mSoZQQX7ZC1pBCV2Hr7kzOlrHMNXn7uJRCL2TL&#10;oEG/0PcJ7faXMKmZsniOBtZNC4qiZefjYODz9PH6DkoKRocTRzJwJYF997LaHWnCUpdk9ElUpUQx&#10;MJaStlqLHSmgNJwo1knPOWCpbR50QnvGgfSmbd90/s+AbsFUB2cgH9wG1OmaqvmOHbzNLNyXxnLQ&#10;3PfePqJqGTHRV5gqBvNAxYDL8pvW05paoB+b10+aHX/HI81L8U+Yaf7z6sUbuxtQSwMEFAAAAAgA&#10;h07iQFrjEWb3AAAA4gEAABMAAABbQ29udGVudF9UeXBlc10ueG1slZFNT8QgEIbvJv4HMlfTUj0Y&#10;Y0r3YPWoRtcfMIFpS7YFwmDd/ffS/bgY18QjzLzP+wTq1XYaxUyRrXcKrssKBDntjXW9go/1U3EH&#10;ghM6g6N3pGBHDKvm8qJe7wKxyGnHCoaUwr2UrAeakEsfyOVJ5+OEKR9jLwPqDfYkb6rqVmrvErlU&#10;pIUBTd1Sh59jEo/bfH0wiTQyiIfD4tKlAEMYrcaUTeXszI+W4thQ5uR+hwcb+CprgPy1YZmcLzjm&#10;XvLTRGtIvGJMzzhlDWkiS+O/XKS5/BuyWE5c+K6zmso2cptjbzSfrM7RecBAGf1f/PuSO8Hl/oea&#10;b1BLAQIUABQAAAAIAIdO4kBa4xFm9wAAAOIBAAATAAAAAAAAAAEAIAAAAKICAABbQ29udGVudF9U&#10;eXBlc10ueG1sUEsBAhQACgAAAAAAh07iQAAAAAAAAAAAAAAAAAYAAAAAAAAAAAAQAAAAiQEAAF9y&#10;ZWxzL1BLAQIUABQAAAAIAIdO4kDVXCYozAAAAI8BAAALAAAAAAAAAAEAIAAAAK0BAABfcmVscy8u&#10;cmVsc1BLAQIUAAoAAAAAAIdO4kAAAAAAAAAAAAAAAAAEAAAAAAAAAAAAEAAAABYAAABkcnMvUEsB&#10;AhQAFAAAAAgAh07iQAaIV3m7AAAA3AAAAA8AAAAAAAAAAQAgAAAAOAAAAGRycy9kb3ducmV2Lnht&#10;bFBLAQIUABQAAAAIAIdO4kAzLwWeOwAAADkAAAAQAAAAAAAAAAEAIAAAACABAABkcnMvc2hhcGV4&#10;bWwueG1sUEsFBgAAAAAGAAYAWwEAAMoDAAAAAA==&#10;">
                  <v:fill on="t" focussize="0,0"/>
                  <v:stroke color="#FFFFFF" joinstyle="miter"/>
                  <v:imagedata o:title=""/>
                  <o:lock v:ext="edit" aspectratio="f"/>
                  <v:textbox>
                    <w:txbxContent>
                      <w:p>
                        <w:pPr>
                          <w:rPr>
                            <w:rFonts w:eastAsia="宋体"/>
                            <w:sz w:val="21"/>
                            <w:szCs w:val="21"/>
                            <w:lang w:val="en-US" w:eastAsia="zh-CN"/>
                          </w:rPr>
                        </w:pPr>
                        <w:r>
                          <w:rPr>
                            <w:rFonts w:hint="eastAsia" w:eastAsia="宋体"/>
                            <w:sz w:val="21"/>
                            <w:szCs w:val="21"/>
                            <w:lang w:val="en-US" w:eastAsia="zh-CN"/>
                          </w:rPr>
                          <w:t>不通过</w:t>
                        </w:r>
                      </w:p>
                    </w:txbxContent>
                  </v:textbox>
                </v:rect>
              </v:group>
            </w:pict>
          </mc:Fallback>
        </mc:AlternateContent>
      </w: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2951480</wp:posOffset>
                </wp:positionH>
                <wp:positionV relativeFrom="paragraph">
                  <wp:posOffset>88900</wp:posOffset>
                </wp:positionV>
                <wp:extent cx="635" cy="502920"/>
                <wp:effectExtent l="48895" t="0" r="64770" b="11430"/>
                <wp:wrapNone/>
                <wp:docPr id="102" name="直线 9"/>
                <wp:cNvGraphicFramePr/>
                <a:graphic xmlns:a="http://schemas.openxmlformats.org/drawingml/2006/main">
                  <a:graphicData uri="http://schemas.microsoft.com/office/word/2010/wordprocessingShape">
                    <wps:wsp>
                      <wps:cNvCnPr/>
                      <wps:spPr>
                        <a:xfrm>
                          <a:off x="3988435" y="3780790"/>
                          <a:ext cx="635" cy="50292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9" o:spid="_x0000_s1026" o:spt="20" style="position:absolute;left:0pt;margin-left:232.4pt;margin-top:7pt;height:39.6pt;width:0.05pt;z-index:251663360;mso-width-relative:page;mso-height-relative:page;" filled="f" stroked="t" coordsize="21600,21600" o:gfxdata="UEsFBgAAAAAAAAAAAAAAAAAAAAAAAFBLAwQKAAAAAACHTuJAAAAAAAAAAAAAAAAABAAAAGRycy9Q&#10;SwMEFAAAAAgAh07iQM+XXO7YAAAACQEAAA8AAABkcnMvZG93bnJldi54bWxNj8FOwzAQRO9I/IO1&#10;SFwQdVpCRUOcHkBIgMqBlIqrG2/jCHsdxW4T/p7lBMedGc2+KdeTd+KEQ+wCKZjPMhBITTAdtQo+&#10;tk/XdyBi0mS0C4QKvjHCujo/K3VhwkjveKpTK7iEYqEV2JT6QsrYWPQ6zkKPxN4hDF4nPodWmkGP&#10;XO6dXGTZUnrdEX+wuscHi81XffQK2t34Yp43n/XB7R63r7dX1r75SanLi3l2DyLhlP7C8IvP6FAx&#10;0z4cyUThFOTLnNETGzlv4gALKxB7BaubBciqlP8XVD9QSwMEFAAAAAgAh07iQOiF2en0AQAA3wMA&#10;AA4AAABkcnMvZTJvRG9jLnhtbK1TzXLTMBC+M8M7aHQndl3Sxp44PTSUCwOZKTzARpZjzehvtGqc&#10;PAuvwYkLj9PXYCWHBgqHHsjBWWk/fbvfp9Xy5mA028uAytmWX8xKzqQVrlN21/Ivn+/eLDjDCLYD&#10;7axs+VEiv1m9frUcfSMrNzjdycCIxGIz+pYPMfqmKFAM0gDOnJeWkr0LBiItw67oAozEbnRRleVV&#10;MbrQ+eCERKTd9ZTkJ8bwEkLX90rItRMPRto4sQapIZIkHJRHvsrd9r0U8VPfo4xMt5yUxvylIhRv&#10;07dYLaHZBfCDEqcW4CUtPNNkQFkq+kS1hgjsIai/qIwSwaHr40w4U0xCsiOk4qJ85s39AF5mLWQ1&#10;+ifT8f/Rio/7TWCqo0koK84sGLryx6/fHr//YHVyZ/TYEOjWbsJphX4TktRDH0z6JxHs0PLLerF4&#10;eznn7Ejx9aK8rk/uykNkggBXKSkoOy+rusrJ4sziA8b30hmWgpZrZZNyaGD/ASNVJugvSNrWlo0t&#10;r+dV4gQaw56un0LjSQraXT6LTqvuTmmdTmDYbW91YHtIo5B/SR/x/gFLRdaAw4TLqWlIBgndO9ux&#10;ePRkkaW3wVMLRnacaUlPKUVECE0Epc9ICMGN/4ZSbW2pheTx5GqKtq47ZrPzPt17bvI0o2mwfl/n&#10;0+d3ufoJ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FgAAAGRycy9QSwECFAAUAAAACACHTuJAz5dc7tgAAAAJAQAADwAAAAAAAAABACAAAAA4&#10;AAAAZHJzL2Rvd25yZXYueG1sUEsBAhQAFAAAAAgAh07iQOiF2en0AQAA3wMAAA4AAAAAAAAAAQAg&#10;AAAAPQEAAGRycy9lMm9Eb2MueG1sUEsFBgAAAAAGAAYAWQEAAKMFAAAAAA==&#10;">
                <v:fill on="f" focussize="0,0"/>
                <v:stroke color="#000000" joinstyle="round" endarrow="open"/>
                <v:imagedata o:title=""/>
                <o:lock v:ext="edit" aspectratio="f"/>
              </v:line>
            </w:pict>
          </mc:Fallback>
        </mc:AlternateContent>
      </w: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lang w:val="en-US" w:eastAsia="zh-CN" w:bidi="ar-SA"/>
          <w14:textFill>
            <w14:solidFill>
              <w14:schemeClr w14:val="tx1"/>
            </w14:solidFill>
          </w14:textFill>
        </w:rPr>
        <mc:AlternateContent>
          <mc:Choice Requires="wps">
            <w:drawing>
              <wp:anchor distT="0" distB="0" distL="114300" distR="114300" simplePos="0" relativeHeight="251666432" behindDoc="0" locked="0" layoutInCell="1" allowOverlap="1">
                <wp:simplePos x="0" y="0"/>
                <wp:positionH relativeFrom="column">
                  <wp:posOffset>4614545</wp:posOffset>
                </wp:positionH>
                <wp:positionV relativeFrom="paragraph">
                  <wp:posOffset>13970</wp:posOffset>
                </wp:positionV>
                <wp:extent cx="10160" cy="2889885"/>
                <wp:effectExtent l="4445" t="0" r="23495" b="5715"/>
                <wp:wrapNone/>
                <wp:docPr id="103" name="直线 20"/>
                <wp:cNvGraphicFramePr/>
                <a:graphic xmlns:a="http://schemas.openxmlformats.org/drawingml/2006/main">
                  <a:graphicData uri="http://schemas.microsoft.com/office/word/2010/wordprocessingShape">
                    <wps:wsp>
                      <wps:cNvCnPr/>
                      <wps:spPr>
                        <a:xfrm>
                          <a:off x="0" y="0"/>
                          <a:ext cx="10160" cy="2889885"/>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20" o:spid="_x0000_s1026" o:spt="20" style="position:absolute;left:0pt;margin-left:363.35pt;margin-top:1.1pt;height:227.55pt;width:0.8pt;z-index:251666432;mso-width-relative:page;mso-height-relative:page;" filled="f" stroked="t" coordsize="21600,21600" o:gfxdata="UEsFBgAAAAAAAAAAAAAAAAAAAAAAAFBLAwQKAAAAAACHTuJAAAAAAAAAAAAAAAAABAAAAGRycy9Q&#10;SwMEFAAAAAgAh07iQEHbin3YAAAACQEAAA8AAABkcnMvZG93bnJldi54bWxNj81OwzAQhO9IvIO1&#10;SFwqateBpgpxegBy40IBcd3GSxIRr9PY/YGnx5zKcTSjmW/K9ckN4kBT6D0bWMwVCOLG255bA2+v&#10;9c0KRIjIFgfPZOCbAqyry4sSC+uP/EKHTWxFKuFQoIEuxrGQMjQdOQxzPxIn79NPDmOSUyvthMdU&#10;7gaplVpKhz2nhQ5Heuio+drsnYFQv9Ou/pk1M/WRtZ707vH5CY25vlqoexCRTvEchj/8hA5VYtr6&#10;PdsgBgO5XuYpakBrEMnP9SoDsTVwe5dnIKtS/n9Q/QJQSwMEFAAAAAgAh07iQCFJTsTjAQAA1gMA&#10;AA4AAABkcnMvZTJvRG9jLnhtbK1TS27bMBDdF+gdCO5ryS4cOILlLOKmm6I10PYAY5KyCPAHDmPZ&#10;Z+k1uuqmx8k1OqRcu002XkQLajifx3mPw+XdwRq2VxG1dy2fTmrOlBNeardr+fdvD+8WnGECJ8F4&#10;p1p+VMjvVm/fLIfQqJnvvZEqMgJx2Ayh5X1KoakqFL2ygBMflKNg56OFRNu4q2SEgdCtqWZ1fVMN&#10;PsoQvVCI5F2PQX5CjNcA+q7TQq29eLTKpRE1KgOJKGGvA/JV6bbrlEhfug5VYqblxDSVlQ4he5vX&#10;arWEZhch9FqcWoBrWnjGyYJ2dOgZag0J2GPUL6CsFtGj79JEeFuNRIoixGJaP9Pmaw9BFS4kNYaz&#10;6Ph6sOLzfhOZljQJ9XvOHFi68qcfP59+/WazIs8QsKGse7eJJFbeYdjEzPXQRZv/xIIdiqTHs6Tq&#10;kJgg57Se3pDWgiKzxeJ2sZhnyatLcYiYPipvWTZabrTLjKGB/SdMY+rflOw2jg0tv53P5gQKNH4d&#10;XTuZNhAFdLtSi95o+aCNyRUYd9t7E9ke8giU79TCf2n5kDVgP+aV0DgcvQL5wUmWjoGkcfQmeG7B&#10;KsmZUfSEslXGKIE212QSe+NIhIuW2dp6eSwSFz9dd5HpNJp5nv7dl+rLc1z9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EHbin3YAAAACQEAAA8AAAAAAAAAAQAgAAAAOAAAAGRycy9kb3ducmV2Lnht&#10;bFBLAQIUABQAAAAIAIdO4kAhSU7E4wEAANYDAAAOAAAAAAAAAAEAIAAAAD0BAABkcnMvZTJvRG9j&#10;LnhtbFBLBQYAAAAABgAGAFkBAACSBQAAAAA=&#10;">
                <v:fill on="f" focussize="0,0"/>
                <v:stroke color="#000000" joinstyle="round"/>
                <v:imagedata o:title=""/>
                <o:lock v:ext="edit" aspectratio="f"/>
              </v:line>
            </w:pict>
          </mc:Fallback>
        </mc:AlternateContent>
      </w:r>
      <w:r>
        <w:rPr>
          <w:rFonts w:hint="default" w:ascii="Times New Roman" w:hAnsi="Times New Roman" w:cs="Times New Roman"/>
          <w:color w:val="000000" w:themeColor="text1"/>
          <w:lang w:val="en-US" w:eastAsia="zh-CN" w:bidi="ar-SA"/>
          <w14:textFill>
            <w14:solidFill>
              <w14:schemeClr w14:val="tx1"/>
            </w14:solidFill>
          </w14:textFill>
        </w:rPr>
        <mc:AlternateContent>
          <mc:Choice Requires="wps">
            <w:drawing>
              <wp:anchor distT="0" distB="0" distL="114300" distR="114300" simplePos="0" relativeHeight="251664384" behindDoc="0" locked="0" layoutInCell="1" allowOverlap="1">
                <wp:simplePos x="0" y="0"/>
                <wp:positionH relativeFrom="column">
                  <wp:posOffset>3500120</wp:posOffset>
                </wp:positionH>
                <wp:positionV relativeFrom="paragraph">
                  <wp:posOffset>12065</wp:posOffset>
                </wp:positionV>
                <wp:extent cx="1115695" cy="8890"/>
                <wp:effectExtent l="0" t="48260" r="8255" b="57150"/>
                <wp:wrapNone/>
                <wp:docPr id="104" name="直线 18"/>
                <wp:cNvGraphicFramePr/>
                <a:graphic xmlns:a="http://schemas.openxmlformats.org/drawingml/2006/main">
                  <a:graphicData uri="http://schemas.microsoft.com/office/word/2010/wordprocessingShape">
                    <wps:wsp>
                      <wps:cNvCnPr/>
                      <wps:spPr>
                        <a:xfrm flipH="1" flipV="1">
                          <a:off x="0" y="0"/>
                          <a:ext cx="1115785" cy="8765"/>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18" o:spid="_x0000_s1026" o:spt="20" style="position:absolute;left:0pt;flip:x y;margin-left:275.6pt;margin-top:0.95pt;height:0.7pt;width:87.85pt;z-index:251664384;mso-width-relative:page;mso-height-relative:page;" filled="f" stroked="t" coordsize="21600,21600" o:gfxdata="UEsFBgAAAAAAAAAAAAAAAAAAAAAAAFBLAwQKAAAAAACHTuJAAAAAAAAAAAAAAAAABAAAAGRycy9Q&#10;SwMEFAAAAAgAh07iQDvru0zWAAAABwEAAA8AAABkcnMvZG93bnJldi54bWxNjsFOwzAQRO9I/IO1&#10;SNyonZQWCHEqUcoBVRwoVc/beIkDsR3Fbhv4epYT3Hb0RrOvXIyuE0caYhu8hmyiQJCvg2l9o2H7&#10;9nR1CyIm9Aa74EnDF0VYVOdnJRYmnPwrHTepETziY4EabEp9IWWsLTmMk9CTZ/YeBoeJ49BIM+CJ&#10;x10nc6Xm0mHr+YPFnpaW6s/NwWmQzu3UavexXaFdL8PL9ffz+PCo9eVFpu5BJBrTXxl+9VkdKnba&#10;h4M3UXQaZrMs5yqDOxDMb/I5H3sN0ynIqpT//asfUEsDBBQAAAAIAIdO4kCZyUgJ9QEAAOoDAAAO&#10;AAAAZHJzL2Uyb0RvYy54bWytU0tu2zAQ3RfoHQjua1lGnbiC5Szipl0UrYF+9mOKtAjwBw5j2Wfp&#10;NbrqpsfJNTqkXKdJusiiWhBDzpvHeU/D5dXBGraXEbV3La8nU86kE77Tbtfyr19uXi04wwSuA+Od&#10;bPlRIr9avXyxHEIjZ773ppOREYnDZggt71MKTVWh6KUFnPggHSWVjxYSbeOu6iIMxG5NNZtOL6rB&#10;xy5ELyQina7HJD8xxucQeqW0kGsvbq10aWSN0kAiSdjrgHxVulVKivRJKZSJmZaT0lRWuoTibV6r&#10;1RKaXYTQa3FqAZ7TwiNNFrSjS89Ua0jAbqN+QmW1iB69ShPhbTUKKY6Qinr6yJvPPQRZtJDVGM6m&#10;4/+jFR/3m8h0R5Mwfc2ZA0u//O77j7ufv1i9yPYMARtCXbtNPO0wbGLWelDRMmV0eE/VvETfcpRz&#10;pIwdis3Hs83ykJigw7qu55eLOWeCcovLi3m+phr5cm2ImN5Jb1kOWm60yyZAA/sPmEboH0g+No4N&#10;LX8zn2VGoIlUNAkU2kCq0O1KLXqjuxttTK7AuNtem8j2kKeifKcWHsDyJWvAfsSVVIZB00vo3rqO&#10;pWMgtxw9E55bsLLjzEh6VTkqyATa3CMhRj/8G0ryjSMXstujvzna+u5YbC/nNALFp9O45hn7e1+q&#10;75/o6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B6BAAAW0NvbnRlbnRfVHlwZXNdLnhtbFBLAQIUAAoAAAAAAIdO4kAAAAAAAAAAAAAAAAAGAAAA&#10;AAAAAAAAEAAAAFwDAABfcmVscy9QSwECFAAUAAAACACHTuJAihRmPNEAAACUAQAACwAAAAAAAAAB&#10;ACAAAACAAwAAX3JlbHMvLnJlbHNQSwECFAAKAAAAAACHTuJAAAAAAAAAAAAAAAAABAAAAAAAAAAA&#10;ABAAAAAWAAAAZHJzL1BLAQIUABQAAAAIAIdO4kA767tM1gAAAAcBAAAPAAAAAAAAAAEAIAAAADgA&#10;AABkcnMvZG93bnJldi54bWxQSwECFAAUAAAACACHTuJAmclICfUBAADqAwAADgAAAAAAAAABACAA&#10;AAA7AQAAZHJzL2Uyb0RvYy54bWxQSwUGAAAAAAYABgBZAQAAogUAAAAA&#10;">
                <v:fill on="f" focussize="0,0"/>
                <v:stroke color="#000000" joinstyle="round" endarrow="open"/>
                <v:imagedata o:title=""/>
                <o:lock v:ext="edit" aspectratio="f"/>
              </v:line>
            </w:pict>
          </mc:Fallback>
        </mc:AlternateContent>
      </w: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61312" behindDoc="0" locked="0" layoutInCell="1" allowOverlap="1">
                <wp:simplePos x="0" y="0"/>
                <wp:positionH relativeFrom="column">
                  <wp:posOffset>2974340</wp:posOffset>
                </wp:positionH>
                <wp:positionV relativeFrom="paragraph">
                  <wp:posOffset>180340</wp:posOffset>
                </wp:positionV>
                <wp:extent cx="635" cy="419100"/>
                <wp:effectExtent l="48895" t="0" r="64770" b="0"/>
                <wp:wrapNone/>
                <wp:docPr id="105" name="直线 10"/>
                <wp:cNvGraphicFramePr/>
                <a:graphic xmlns:a="http://schemas.openxmlformats.org/drawingml/2006/main">
                  <a:graphicData uri="http://schemas.microsoft.com/office/word/2010/wordprocessingShape">
                    <wps:wsp>
                      <wps:cNvCnPr/>
                      <wps:spPr>
                        <a:xfrm>
                          <a:off x="0" y="0"/>
                          <a:ext cx="635" cy="41910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10" o:spid="_x0000_s1026" o:spt="20" style="position:absolute;left:0pt;margin-left:234.2pt;margin-top:14.2pt;height:33pt;width:0.05pt;z-index:251661312;mso-width-relative:page;mso-height-relative:page;" filled="f" stroked="t" coordsize="21600,21600" o:gfxdata="UEsFBgAAAAAAAAAAAAAAAAAAAAAAAFBLAwQKAAAAAACHTuJAAAAAAAAAAAAAAAAABAAAAGRycy9Q&#10;SwMEFAAAAAgAh07iQKDmjyDYAAAACQEAAA8AAABkcnMvZG93bnJldi54bWxNj8FOwzAMhu9IvENk&#10;JC6IpZu6aZS6O4CQAMGBjolr1mRNReJUTbaWt8c7wcmy/en353IzeSdOZohdIIT5LANhqAm6oxbh&#10;c/t0uwYRkyKtXCCD8GMibKrLi1IVOoz0YU51agWHUCwUgk2pL6SMjTVexVnoDfHuEAavErdDK/Wg&#10;Rg73Ti6ybCW96ogvWNWbB2ua7/roEdrd+KKf377qg9s9bl+XN9a++wnx+mqe3YNIZkp/MJz1WR0q&#10;dtqHI+koHEK+WueMIizOlQEeLEHsEe7yHGRVyv8fVL9QSwMEFAAAAAgAh07iQCGKhKTnAQAA1AMA&#10;AA4AAABkcnMvZTJvRG9jLnhtbK1TzW4TMRC+I/EOlu9kdwOt6CqbHhrKBUEkygNMbG/Wkv/kcbPJ&#10;s/AanLjwOH0Nxt6QQNtDD+zBOx6Pv5nvm/Hiem8N26mI2ruON7OaM+WEl9ptO/7t7vbNe84wgZNg&#10;vFMdPyjk18vXrxZjaNXcD95IFRmBOGzH0PEhpdBWFYpBWcCZD8rRYe+jhUTbuK1khJHQranmdX1Z&#10;jT7KEL1QiORdTYf8iBhfAuj7Xgu18uLeKpcm1KgMJKKEgw7Il6Xavlcifel7VImZjhPTVFZKQvYm&#10;r9VyAe02Qhi0OJYALynhEScL2lHSE9QKErD7qJ9AWS2iR9+nmfC2mogURYhFUz/S5usAQRUuJDWG&#10;k+j4/2DF5906Mi1pEuoLzhxYavnD9x8PP3+xpsgzBmwp6satI4mVdxjWMXPd99HmP7Fg+yLp4SSp&#10;2icmyHn5llAF+d81V01dAKvzzRAxfVTesmx03GiX6UILu0+YKBuF/gnJbuPY2PGri3nGBJq9nnpO&#10;pg1UP7ptuYveaHmrjck3MG43NyayHeT+ly+3nHD/CctJVoDDFFeOpskYFMgPTrJ0CKSLowfBcwlW&#10;Sc6MoveTrTJDCbQ5R0KMfnw+lHIbRyWclczWxstDEbj4qdmlyONg5mn6e19unx/j8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WAAAAZHJz&#10;L1BLAQIUABQAAAAIAIdO4kCg5o8g2AAAAAkBAAAPAAAAAAAAAAEAIAAAADgAAABkcnMvZG93bnJl&#10;di54bWxQSwECFAAUAAAACACHTuJAIYqEpOcBAADUAwAADgAAAAAAAAABACAAAAA9AQAAZHJzL2Uy&#10;b0RvYy54bWxQSwUGAAAAAAYABgBZAQAAlgUAAAAA&#10;">
                <v:fill on="f" focussize="0,0"/>
                <v:stroke color="#000000" joinstyle="round" endarrow="open"/>
                <v:imagedata o:title=""/>
                <o:lock v:ext="edit" aspectratio="f"/>
              </v:line>
            </w:pict>
          </mc:Fallback>
        </mc:AlternateContent>
      </w: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bidi w:val="0"/>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4650740</wp:posOffset>
                </wp:positionH>
                <wp:positionV relativeFrom="paragraph">
                  <wp:posOffset>304165</wp:posOffset>
                </wp:positionV>
                <wp:extent cx="252730" cy="1123950"/>
                <wp:effectExtent l="5080" t="4445" r="8890" b="14605"/>
                <wp:wrapNone/>
                <wp:docPr id="106" name="矩形 41"/>
                <wp:cNvGraphicFramePr/>
                <a:graphic xmlns:a="http://schemas.openxmlformats.org/drawingml/2006/main">
                  <a:graphicData uri="http://schemas.microsoft.com/office/word/2010/wordprocessingShape">
                    <wps:wsp>
                      <wps:cNvSpPr/>
                      <wps:spPr>
                        <a:xfrm>
                          <a:off x="0" y="0"/>
                          <a:ext cx="252730" cy="112395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cs="宋体"/>
                                <w:lang w:val="en-US" w:eastAsia="zh-CN" w:bidi="ar-SA"/>
                              </w:rPr>
                            </w:pPr>
                            <w:r>
                              <w:rPr>
                                <w:rFonts w:hint="eastAsia" w:ascii="宋体" w:hAnsi="宋体" w:eastAsia="宋体"/>
                              </w:rPr>
                              <w:t>反馈和改进</w:t>
                            </w:r>
                          </w:p>
                          <w:p>
                            <w:pPr>
                              <w:rPr>
                                <w:rFonts w:eastAsia="宋体"/>
                                <w:lang w:val="en-US" w:eastAsia="zh-CN"/>
                              </w:rPr>
                            </w:pPr>
                          </w:p>
                        </w:txbxContent>
                      </wps:txbx>
                      <wps:bodyPr upright="1">
                        <a:noAutofit/>
                      </wps:bodyPr>
                    </wps:wsp>
                  </a:graphicData>
                </a:graphic>
              </wp:anchor>
            </w:drawing>
          </mc:Choice>
          <mc:Fallback>
            <w:pict>
              <v:rect id="矩形 41" o:spid="_x0000_s1026" o:spt="1" style="position:absolute;left:0pt;margin-left:366.2pt;margin-top:23.95pt;height:88.5pt;width:19.9pt;z-index:251662336;mso-width-relative:page;mso-height-relative:page;" fillcolor="#FFFFFF" filled="t" stroked="t" coordsize="21600,21600" o:gfxdata="UEsFBgAAAAAAAAAAAAAAAAAAAAAAAFBLAwQKAAAAAACHTuJAAAAAAAAAAAAAAAAABAAAAGRycy9Q&#10;SwMEFAAAAAgAh07iQI9dbvbYAAAACgEAAA8AAABkcnMvZG93bnJldi54bWxNj8tOwzAQRfdI/IM1&#10;SOyoUxMRGuJUogSxYVEK7Kf2kETE4yh2X3w9ZlWWo3t075lqeXSD2NMUes8a5rMMBLHxtudWw8f7&#10;8809iBCRLQ6eScOJAizry4sKS+sP/Eb7TWxFKuFQooYuxrGUMpiOHIaZH4lT9uUnhzGdUyvthIdU&#10;7gapsuxOOuw5LXQ40qoj873ZOQ1rxKf1z4sxj83pNW9o9dmQH7S+vppnDyAiHeMZhj/9pA51ctr6&#10;HdsgBg3FrcoTqiEvFiASUBRKgdhqUCpfgKwr+f+F+hdQSwMEFAAAAAgAh07iQJTKvswLAgAARgQA&#10;AA4AAABkcnMvZTJvRG9jLnhtbK1TzY7TMBC+I/EOlu80TZYubNR0hSjlgmClZR/AtZ3Ekv/kcZv0&#10;aZC48RA8DuI1GDul3V0uPZCDM7bH38z3zczydjSa7GUA5WxDy9mcEmm5E8p2DX34unn1lhKIzAqm&#10;nZUNPUigt6uXL5aDr2XleqeFDARBLNSDb2gfo6+LAngvDYOZ89LiZeuCYRG3oStEYAOiG11U8/l1&#10;MbggfHBcAuDperqkR8RwCaBrW8Xl2vGdkTZOqEFqFpES9MoDXeVs21by+KVtQUaiG4pMY14xCNrb&#10;tBarJau7wHyv+DEFdkkKzzgZpiwGPUGtWWRkF9Q/UEbx4MC1ccadKSYiWRFkUc6faXPfMy8zF5Qa&#10;/El0+H+w/PP+LhAlsBPm15RYZrDkv7/9+PXzO3ldJnkGDzV63fu7cNwBmonr2AaT/siCjFnSw0lS&#10;OUbC8bBaVG+uUGyOV2VZXd0ssubF+bUPED9KZ0gyGhqwZFlJtv8EESOi61+XFAycVmKjtM6b0G3f&#10;60D2DMu7yV9KGZ88cdOWDA29WVQLTIRhz7bYK2gaj7zBdjnekxdwGXBKbM2gnxLICFNHGRVlkovV&#10;vWTigxUkHjwqa3GkaErGSEGJljiBycqekSl9iSey0xZJpsJMpUhWHLcjwiRz68QBi7rzQXU9Slpm&#10;fta920XXqqzp2e0IhO2VdTuOQurfx/vsdR7/1R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WAAAAZHJzL1BLAQIUABQAAAAIAIdO4kCPXW72&#10;2AAAAAoBAAAPAAAAAAAAAAEAIAAAADgAAABkcnMvZG93bnJldi54bWxQSwECFAAUAAAACACHTuJA&#10;lMq+zAsCAABGBAAADgAAAAAAAAABACAAAAA9AQAAZHJzL2Uyb0RvYy54bWxQSwUGAAAAAAYABgBZ&#10;AQAAugUAAAAA&#10;">
                <v:fill on="t" focussize="0,0"/>
                <v:stroke color="#FFFFFF" joinstyle="miter"/>
                <v:imagedata o:title=""/>
                <o:lock v:ext="edit" aspectratio="f"/>
                <v:textbox>
                  <w:txbxContent>
                    <w:p>
                      <w:pPr>
                        <w:rPr>
                          <w:rFonts w:eastAsia="宋体" w:cs="宋体"/>
                          <w:lang w:val="en-US" w:eastAsia="zh-CN" w:bidi="ar-SA"/>
                        </w:rPr>
                      </w:pPr>
                      <w:r>
                        <w:rPr>
                          <w:rFonts w:hint="eastAsia" w:ascii="宋体" w:hAnsi="宋体" w:eastAsia="宋体"/>
                        </w:rPr>
                        <w:t>反馈和改进</w:t>
                      </w:r>
                    </w:p>
                    <w:p>
                      <w:pPr>
                        <w:rPr>
                          <w:rFonts w:eastAsia="宋体"/>
                          <w:lang w:val="en-US" w:eastAsia="zh-CN"/>
                        </w:rPr>
                      </w:pPr>
                    </w:p>
                  </w:txbxContent>
                </v:textbox>
              </v:rect>
            </w:pict>
          </mc:Fallback>
        </mc:AlternateContent>
      </w: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widowControl/>
        <w:jc w:val="both"/>
        <w:rPr>
          <w:rFonts w:hint="default" w:ascii="Times New Roman" w:hAnsi="Times New Roman" w:eastAsia="黑体" w:cs="Times New Roman"/>
          <w:color w:val="000000" w:themeColor="text1"/>
          <w:sz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2966720</wp:posOffset>
                </wp:positionH>
                <wp:positionV relativeFrom="paragraph">
                  <wp:posOffset>94615</wp:posOffset>
                </wp:positionV>
                <wp:extent cx="635" cy="670560"/>
                <wp:effectExtent l="48895" t="0" r="64770" b="15240"/>
                <wp:wrapNone/>
                <wp:docPr id="107" name="直线 34"/>
                <wp:cNvGraphicFramePr/>
                <a:graphic xmlns:a="http://schemas.openxmlformats.org/drawingml/2006/main">
                  <a:graphicData uri="http://schemas.microsoft.com/office/word/2010/wordprocessingShape">
                    <wps:wsp>
                      <wps:cNvCnPr/>
                      <wps:spPr>
                        <a:xfrm>
                          <a:off x="4003675" y="6543040"/>
                          <a:ext cx="635" cy="67056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34" o:spid="_x0000_s1026" o:spt="20" style="position:absolute;left:0pt;margin-left:233.6pt;margin-top:7.45pt;height:52.8pt;width:0.05pt;z-index:251660288;mso-width-relative:page;mso-height-relative:page;" filled="f" stroked="t" coordsize="21600,21600" o:gfxdata="UEsFBgAAAAAAAAAAAAAAAAAAAAAAAFBLAwQKAAAAAACHTuJAAAAAAAAAAAAAAAAABAAAAGRycy9Q&#10;SwMEFAAAAAgAh07iQIhHzDbZAAAACgEAAA8AAABkcnMvZG93bnJldi54bWxNj8FOwzAQRO9I/IO1&#10;SFwQtRvaAiFODyAkQHAgpeLqxts4Il5HsduEv2c5wXFnnmZnivXkO3HEIbaBNMxnCgRSHWxLjYaP&#10;zePlDYiYDFnTBUIN3xhhXZ6eFCa3YaR3PFapERxCMTcaXEp9LmWsHXoTZ6FHYm8fBm8Sn0Mj7WBG&#10;DvedzJRaSW9a4g/O9HjvsP6qDl5Dsx2f7dPrZ7Xvtg+bl+WFc29+0vr8bK7uQCSc0h8Mv/W5OpTc&#10;aRcOZKPoNCxW1xmjbCxuQTDAwhWIHQuZWoIsC/l/QvkDUEsDBBQAAAAIAIdO4kCT80mF9AEAAOAD&#10;AAAOAAAAZHJzL2Uyb0RvYy54bWytU0uOEzEQ3SNxB8t70j35DbTSmcWEYYMgEnCAiu1OW/JPLk86&#10;OQvXYMWG48w1KLvDBAYWsyCLTtn1/Krec3l1c7SGHVRE7V3LryY1Z8oJL7Xbt/zL57tXrznDBE6C&#10;8U61/KSQ36xfvlgNoVFT33sjVWRE4rAZQsv7lEJTVSh6ZQEnPihHyc5HC4mWcV/JCAOxW1NN63pZ&#10;DT7KEL1QiLS7GZP8zBifQ+i7Tgu18eLeKpdG1qgMJJKEvQ7I16XbrlMifew6VImZlpPSVL5UhOJd&#10;/lbrFTT7CKHX4twCPKeFJ5osaEdFH6k2kIDdR/0XldUievRdmghvq1FIcYRUXNVPvPnUQ1BFC1mN&#10;4dF0/H+04sNhG5mWNAn1NWcOLF35w9dvD99/sNk82zMEbAh167bxvMKwjVnrsYs2/5MKdmz5vK5n&#10;y+sFZ6eWLxfzWT0/26uOiQkCLGeUFDl7XS+WJVldWELE9E55y3LQcqNdlg4NHN5josoE/QXJ28ax&#10;oeVvFtPMCTSHHd0/hTaQFnT7cha90fJOG5NPYNzvbk1kB8izUH5ZH/H+ActFNoD9iCupcUp6BfKt&#10;kyydAnnk6HHw3IJVkjOj6C3liAihSaDNBQkx+uHfUKptHLWQPR5dzdHOy1Mxu+zTxZcmz0OaJ+v3&#10;dTl9eZjr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BYAAABkcnMvUEsBAhQAFAAAAAgAh07iQIhHzDbZAAAACgEAAA8AAAAAAAAAAQAgAAAA&#10;OAAAAGRycy9kb3ducmV2LnhtbFBLAQIUABQAAAAIAIdO4kCT80mF9AEAAOADAAAOAAAAAAAAAAEA&#10;IAAAAD4BAABkcnMvZTJvRG9jLnhtbFBLBQYAAAAABgAGAFkBAACkBQAAAAA=&#10;">
                <v:fill on="f" focussize="0,0"/>
                <v:stroke color="#000000" joinstyle="round" endarrow="open"/>
                <v:imagedata o:title=""/>
                <o:lock v:ext="edit" aspectratio="f"/>
              </v:line>
            </w:pict>
          </mc:Fallback>
        </mc:AlternateContent>
      </w:r>
    </w:p>
    <w:p>
      <w:pPr>
        <w:widowControl/>
        <w:jc w:val="center"/>
        <w:rPr>
          <w:rFonts w:hint="default" w:ascii="Times New Roman" w:hAnsi="Times New Roman" w:eastAsia="黑体" w:cs="Times New Roman"/>
          <w:color w:val="000000" w:themeColor="text1"/>
          <w:sz w:val="21"/>
          <w:lang w:val="en-US" w:eastAsia="zh-CN"/>
          <w14:textFill>
            <w14:solidFill>
              <w14:schemeClr w14:val="tx1"/>
            </w14:solidFill>
          </w14:textFill>
        </w:rPr>
      </w:pPr>
    </w:p>
    <w:p>
      <w:pPr>
        <w:pStyle w:val="11"/>
        <w:shd w:val="clear" w:color="auto" w:fill="auto"/>
        <w:tabs>
          <w:tab w:val="left" w:leader="dot" w:pos="3383"/>
        </w:tabs>
        <w:spacing w:before="0" w:line="360" w:lineRule="auto"/>
        <w:ind w:firstLine="432"/>
        <w:jc w:val="both"/>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70528" behindDoc="0" locked="0" layoutInCell="1" allowOverlap="1">
                <wp:simplePos x="0" y="0"/>
                <wp:positionH relativeFrom="column">
                  <wp:posOffset>3605530</wp:posOffset>
                </wp:positionH>
                <wp:positionV relativeFrom="paragraph">
                  <wp:posOffset>193675</wp:posOffset>
                </wp:positionV>
                <wp:extent cx="781050" cy="306705"/>
                <wp:effectExtent l="4445" t="4445" r="14605" b="12700"/>
                <wp:wrapNone/>
                <wp:docPr id="108" name="矩形 39"/>
                <wp:cNvGraphicFramePr/>
                <a:graphic xmlns:a="http://schemas.openxmlformats.org/drawingml/2006/main">
                  <a:graphicData uri="http://schemas.microsoft.com/office/word/2010/wordprocessingShape">
                    <wps:wsp>
                      <wps:cNvSpPr/>
                      <wps:spPr>
                        <a:xfrm>
                          <a:off x="0" y="0"/>
                          <a:ext cx="781048" cy="306390"/>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sz w:val="21"/>
                                <w:szCs w:val="21"/>
                                <w:lang w:val="en-US" w:eastAsia="zh-CN"/>
                              </w:rPr>
                            </w:pPr>
                            <w:r>
                              <w:rPr>
                                <w:rFonts w:hint="eastAsia" w:eastAsia="宋体"/>
                                <w:sz w:val="21"/>
                                <w:szCs w:val="21"/>
                                <w:lang w:val="en-US" w:eastAsia="zh-CN"/>
                              </w:rPr>
                              <w:t>不通过</w:t>
                            </w:r>
                          </w:p>
                        </w:txbxContent>
                      </wps:txbx>
                      <wps:bodyPr upright="1"/>
                    </wps:wsp>
                  </a:graphicData>
                </a:graphic>
              </wp:anchor>
            </w:drawing>
          </mc:Choice>
          <mc:Fallback>
            <w:pict>
              <v:rect id="矩形 39" o:spid="_x0000_s1026" o:spt="1" style="position:absolute;left:0pt;margin-left:283.9pt;margin-top:15.25pt;height:24.15pt;width:61.5pt;z-index:251670528;mso-width-relative:page;mso-height-relative:page;" fillcolor="#FFFFFF" filled="t" stroked="t" coordsize="21600,21600" o:gfxdata="UEsFBgAAAAAAAAAAAAAAAAAAAAAAAFBLAwQKAAAAAACHTuJAAAAAAAAAAAAAAAAABAAAAGRycy9Q&#10;SwMEFAAAAAgAh07iQOrdJWPXAAAACQEAAA8AAABkcnMvZG93bnJldi54bWxNj0tPwzAQhO9I/Adr&#10;kbhRu0DTEOJUogT1wqEUuG/jJYnwI4rdF7++ywmOOzua+aZcHJ0VexpjH7yG6USBIN8E0/tWw8f7&#10;y00OIib0Bm3wpOFEERbV5UWJhQkH/0b7TWoFh/hYoIYupaGQMjYdOYyTMJDn31cYHSY+x1aaEQ8c&#10;7qy8VSqTDnvPDR0OtOyo+d7snIY14vP6Z9U0T/Xp9b6m5WdNwWp9fTVVjyASHdOfGX7xGR0qZtqG&#10;nTdRWA2zbM7oScOdmoFgQ/agWNhqmOc5yKqU/xdUZ1BLAwQUAAAACACHTuJAYoVCUgACAAArBAAA&#10;DgAAAGRycy9lMm9Eb2MueG1srVNLjhMxEN0jcQfLe6Y7CTNMWunMghA2CEYaOIDjT7cl/+Ry0p3T&#10;ILHjEBwHcQ3K7pBhhk0W9MJdZZdf1XtVXt2N1pCDjKC9a+nsqqZEOu6Fdl1Lv3zevrqlBBJzghnv&#10;ZEuPEujd+uWL1RAaOfe9N0JGgiAOmiG0tE8pNFUFvJeWwZUP0uGh8tGyhG7sKhHZgOjWVPO6vqkG&#10;H0WInksA3N1Mh/SEGC8B9EppLjee7610aUKN0rCElKDXAei6VKuU5OmTUiATMS1FpqmsmATtXV6r&#10;9Yo1XWSh1/xUArukhGecLNMOk56hNiwxso/6HyirefTgVbri3lYTkaIIspjVz7R56FmQhQtKDeEs&#10;Ovw/WP7xcB+JFjgJNTbeMYst//X1+88f38himeUZAjQY9RDu48kDNDPXUUWb/8iCjEXS41lSOSbC&#10;cfPN7ax+jcAcjxb1zWJZJK8eL4cI6b30lmSjpRE7VoRkhw+QMCGG/gnJucAbLbbamOLEbvfWRHJg&#10;2N1t+XLFeOVJmHFkaOnyen6NdTAcWYWjgqYNSBtcV/I9uQGXAefCNgz6qYCCMA2U1UlmtVjTSybe&#10;OUHSMaCwDl8UzcVYKSgxEh9gtkpkYtpcEonsjEOSuS9TJ7KVxt2IMNnceXHEnu5D1F2Pks6KJvkE&#10;Z6ioc5r3PKR/+wX08Y2vfwN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WAAAAZHJzL1BLAQIUABQAAAAIAIdO4kDq3SVj1wAAAAkBAAAPAAAA&#10;AAAAAAEAIAAAADgAAABkcnMvZG93bnJldi54bWxQSwECFAAUAAAACACHTuJAYoVCUgACAAArBAAA&#10;DgAAAAAAAAABACAAAAA8AQAAZHJzL2Uyb0RvYy54bWxQSwUGAAAAAAYABgBZAQAArgUAAAAA&#10;">
                <v:fill on="t" focussize="0,0"/>
                <v:stroke color="#FFFFFF" joinstyle="miter"/>
                <v:imagedata o:title=""/>
                <o:lock v:ext="edit" aspectratio="f"/>
                <v:textbox>
                  <w:txbxContent>
                    <w:p>
                      <w:pPr>
                        <w:rPr>
                          <w:rFonts w:eastAsia="宋体"/>
                          <w:sz w:val="21"/>
                          <w:szCs w:val="21"/>
                          <w:lang w:val="en-US" w:eastAsia="zh-CN"/>
                        </w:rPr>
                      </w:pPr>
                      <w:r>
                        <w:rPr>
                          <w:rFonts w:hint="eastAsia" w:eastAsia="宋体"/>
                          <w:sz w:val="21"/>
                          <w:szCs w:val="21"/>
                          <w:lang w:val="en-US" w:eastAsia="zh-CN"/>
                        </w:rPr>
                        <w:t>不通过</w:t>
                      </w:r>
                    </w:p>
                  </w:txbxContent>
                </v:textbox>
              </v:rect>
            </w:pict>
          </mc:Fallback>
        </mc:AlternateConten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9504" behindDoc="0" locked="0" layoutInCell="1" allowOverlap="1">
                <wp:simplePos x="0" y="0"/>
                <wp:positionH relativeFrom="column">
                  <wp:posOffset>3529330</wp:posOffset>
                </wp:positionH>
                <wp:positionV relativeFrom="paragraph">
                  <wp:posOffset>230505</wp:posOffset>
                </wp:positionV>
                <wp:extent cx="1099820" cy="6350"/>
                <wp:effectExtent l="0" t="0" r="0" b="0"/>
                <wp:wrapNone/>
                <wp:docPr id="109" name="直线 38"/>
                <wp:cNvGraphicFramePr/>
                <a:graphic xmlns:a="http://schemas.openxmlformats.org/drawingml/2006/main">
                  <a:graphicData uri="http://schemas.microsoft.com/office/word/2010/wordprocessingShape">
                    <wps:wsp>
                      <wps:cNvCnPr/>
                      <wps:spPr>
                        <a:xfrm>
                          <a:off x="0" y="0"/>
                          <a:ext cx="1100104" cy="6383"/>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id="直线 38" o:spid="_x0000_s1026" o:spt="20" style="position:absolute;left:0pt;margin-left:277.9pt;margin-top:18.15pt;height:0.5pt;width:86.6pt;z-index:251669504;mso-width-relative:page;mso-height-relative:page;" filled="f" stroked="t" coordsize="21600,21600" o:gfxdata="UEsFBgAAAAAAAAAAAAAAAAAAAAAAAFBLAwQKAAAAAACHTuJAAAAAAAAAAAAAAAAABAAAAGRycy9Q&#10;SwMEFAAAAAgAh07iQLaqwRfYAAAACQEAAA8AAABkcnMvZG93bnJldi54bWxNj71Ow0AQhHsk3uG0&#10;SDQROceWEzA+pwDc0RBAtBvfYlv49hzf5QeenqUK5eyMZr8p1yc3qANNofdsYDFPQBE33vbcGnh7&#10;rW9uQYWIbHHwTAa+KcC6urwosbD+yC902MRWSQmHAg10MY6F1qHpyGGY+5FYvE8/OYwip1bbCY9S&#10;7gadJslSO+xZPnQ40kNHzddm7wyE+p129c+smSUfWesp3T0+P6Ex11eL5B5UpFM8h+EPX9ChEqat&#10;37MNajCQ57mgRwPZMgMlgVV6J+O2clhloKtS/19Q/QJQSwMEFAAAAAgAh07iQJHtIRnjAQAA1QMA&#10;AA4AAABkcnMvZTJvRG9jLnhtbK1TS27bMBDdF+gdCO5jyXYTOILlLOKmm6I10PYAY5KyCPAHDmPZ&#10;Z+k1uuqmx8k1OqRcp003XkQLajifx3mPw+XdwRq2VxG1dy2fTmrOlBNeardr+bevD1cLzjCBk2C8&#10;Uy0/KuR3q7dvlkNo1Mz33kgVGYE4bIbQ8j6l0FQVil5ZwIkPylGw89FCom3cVTLCQOjWVLO6vqkG&#10;H2WIXihE8q7HID8hxksAfddpodZePFrl0ogalYFElLDXAfmqdNt1SqTPXYcqMdNyYprKSoeQvc1r&#10;tVpCs4sQei1OLcAlLbzgZEE7OvQMtYYE7DHq/6CsFtGj79JEeFuNRIoixGJav9DmSw9BFS4kNYaz&#10;6Ph6sOLTfhOZljQJ9S1nDixd+dP3H08/f7H5IsszBGwo695t4mmHYRMz10MXbf4TC3Yokh7PkqpD&#10;YoKc02lNvN5xJih2M1/MM2T1XBsipg/KW5aNlhvtMmFoYP8R05j6JyW7jWNDy2+vZ9eECDR9Hd06&#10;mTYQA3S7UoveaPmgjckVGHfbexPZHvIElO/Uwj9p+ZA1YD/mlVBOg6ZXIN87ydIxkDKOngTPLVgl&#10;OTOKXlC2SmYCbS7JJPbGkQhZ2FHKbG29PBaFi59uu8h0msw8Tn/vS/Xza1z9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LaqwRfYAAAACQEAAA8AAAAAAAAAAQAgAAAAOAAAAGRycy9kb3ducmV2Lnht&#10;bFBLAQIUABQAAAAIAIdO4kCR7SEZ4wEAANUDAAAOAAAAAAAAAAEAIAAAAD0BAABkcnMvZTJvRG9j&#10;LnhtbFBLBQYAAAAABgAGAFkBAACSBQAAAAA=&#10;">
                <v:fill on="f" focussize="0,0"/>
                <v:stroke color="#000000" joinstyle="round"/>
                <v:imagedata o:title=""/>
                <o:lock v:ext="edit" aspectratio="f"/>
              </v:line>
            </w:pict>
          </mc:Fallback>
        </mc:AlternateContent>
      </w:r>
    </w:p>
    <w:p>
      <w:pPr>
        <w:rPr>
          <w:rFonts w:hint="default" w:ascii="Times New Roman" w:hAnsi="Times New Roman" w:cs="Times New Roman"/>
          <w:color w:val="000000" w:themeColor="text1"/>
          <w:lang w:val="en-US" w:eastAsia="zh-CN"/>
          <w14:textFill>
            <w14:solidFill>
              <w14:schemeClr w14:val="tx1"/>
            </w14:solidFill>
          </w14:textFill>
        </w:rPr>
      </w:pPr>
      <w:bookmarkStart w:id="665" w:name="_Toc8896"/>
      <w:bookmarkStart w:id="666" w:name="_Toc18144"/>
      <w:bookmarkStart w:id="667" w:name="_Toc23603"/>
      <w:bookmarkStart w:id="668" w:name="_Toc11077"/>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67456" behindDoc="0" locked="0" layoutInCell="1" allowOverlap="1">
                <wp:simplePos x="0" y="0"/>
                <wp:positionH relativeFrom="column">
                  <wp:posOffset>2438400</wp:posOffset>
                </wp:positionH>
                <wp:positionV relativeFrom="paragraph">
                  <wp:posOffset>827405</wp:posOffset>
                </wp:positionV>
                <wp:extent cx="1073150" cy="360045"/>
                <wp:effectExtent l="4445" t="4445" r="8255" b="16510"/>
                <wp:wrapNone/>
                <wp:docPr id="112" name="矩形 7"/>
                <wp:cNvGraphicFramePr/>
                <a:graphic xmlns:a="http://schemas.openxmlformats.org/drawingml/2006/main">
                  <a:graphicData uri="http://schemas.microsoft.com/office/word/2010/wordprocessingShape">
                    <wps:wsp>
                      <wps:cNvSpPr/>
                      <wps:spPr>
                        <a:xfrm>
                          <a:off x="0" y="0"/>
                          <a:ext cx="1072665" cy="35999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eastAsia="宋体"/>
                                <w:lang w:val="en-US" w:eastAsia="zh-CN"/>
                              </w:rPr>
                            </w:pPr>
                            <w:r>
                              <w:rPr>
                                <w:rFonts w:hint="eastAsia" w:eastAsia="宋体"/>
                                <w:lang w:val="en-US" w:eastAsia="zh-CN"/>
                              </w:rPr>
                              <w:t>结果</w:t>
                            </w:r>
                            <w:r>
                              <w:rPr>
                                <w:rFonts w:eastAsia="宋体"/>
                                <w:lang w:val="en-US" w:eastAsia="zh-CN"/>
                              </w:rPr>
                              <w:t>公布</w:t>
                            </w:r>
                          </w:p>
                        </w:txbxContent>
                      </wps:txbx>
                      <wps:bodyPr upright="1"/>
                    </wps:wsp>
                  </a:graphicData>
                </a:graphic>
              </wp:anchor>
            </w:drawing>
          </mc:Choice>
          <mc:Fallback>
            <w:pict>
              <v:rect id="矩形 7" o:spid="_x0000_s1026" o:spt="1" style="position:absolute;left:0pt;margin-left:192pt;margin-top:65.15pt;height:28.35pt;width:84.5pt;z-index:251667456;mso-width-relative:page;mso-height-relative:page;" fillcolor="#FFFFFF" filled="t" stroked="t" coordsize="21600,21600" o:gfxdata="UEsFBgAAAAAAAAAAAAAAAAAAAAAAAFBLAwQKAAAAAACHTuJAAAAAAAAAAAAAAAAABAAAAGRycy9Q&#10;SwMEFAAAAAgAh07iQH3zKB/YAAAACwEAAA8AAABkcnMvZG93bnJldi54bWxNj8FOwzAQRO9I/IO1&#10;SNyo3ZpCGuL0ACoSxza9cNsk2yQQ21HstIGvZznBcWdGs2+y7Wx7caYxdN4ZWC4UCHKVrzvXGDgW&#10;u7sERIjoauy9IwNfFGCbX19lmNb+4vZ0PsRGcIkLKRpoYxxSKUPVksWw8AM59k5+tBj5HBtZj3jh&#10;ctvLlVIP0mLn+EOLAz23VH0eJmug7FZH/N4Xr8pudjq+zcXH9P5izO3NUj2BiDTHvzD84jM65MxU&#10;+snVQfQGdHLPWyIbWmkQnFivNSslK8mjApln8v+G/AdQSwMEFAAAAAgAh07iQPVGx4EBAgAAKwQA&#10;AA4AAABkcnMvZTJvRG9jLnhtbK1TTa7TMBDeI3EHy3uatKh9NGr6FpSyQfCkBwdwbSex5D953CY9&#10;DRI7DsFxENdg7IS+H1h0QRbOjD3+Zr5vxpvbwWhykgGUszWdz0pKpOVOKNvW9Mvn/as3lEBkVjDt&#10;rKzpWQK93b58sel9JReuc1rIQBDEQtX7mnYx+qoogHfSMJg5Ly0eNi4YFtENbSEC6xHd6GJRlqui&#10;d0H44LgEwN3deEgnxHANoGsaxeXO8aORNo6oQWoWkRJ0ygPd5mqbRvL4qWlARqJrikxjXjEJ2oe0&#10;FtsNq9rAfKf4VAK7poRnnAxTFpNeoHYsMnIM6i8oo3hw4Jo4484UI5GsCLKYl8+0ue+Yl5kLSg3+&#10;Ijr8P1j+8XQXiBI4CfMFJZYZbPmvr99//vhGbpI6vYcKg+79XZg8QDNRHZpg0h9JkCErer4oKodI&#10;OG7Oy5vFarWkhOPZ6+V6vV4m0OLhtg8Q30tnSDJqGrBjWUh2+gBxDP0TkpKB00rsldbZCe3hrQ7k&#10;xLC7+/xN6E/CtCV9TdfLRaqD4cg2OCpoGo+0wbY535Mb8Bi4zN+/gFNhOwbdWEBGSGGsMirKkK1O&#10;MvHOChLPHoW1+KJoKsZIQYmW+ACTlSMjU/qaSNROW5QwNWZsRbLicBgQJpkHJ87Y06MPqu1Q0nku&#10;PZ3gDGXtp3lPQ/rYz6APb3z7G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BYAAABkcnMvUEsBAhQAFAAAAAgAh07iQH3zKB/YAAAACwEAAA8A&#10;AAAAAAAAAQAgAAAAOAAAAGRycy9kb3ducmV2LnhtbFBLAQIUABQAAAAIAIdO4kD1RseBAQIAACsE&#10;AAAOAAAAAAAAAAEAIAAAAD0BAABkcnMvZTJvRG9jLnhtbFBLBQYAAAAABgAGAFkBAACwBQAAAAA=&#10;">
                <v:fill on="t" focussize="0,0"/>
                <v:stroke color="#000000" joinstyle="miter"/>
                <v:imagedata o:title=""/>
                <o:lock v:ext="edit" aspectratio="f"/>
                <v:textbox>
                  <w:txbxContent>
                    <w:p>
                      <w:pPr>
                        <w:jc w:val="center"/>
                        <w:rPr>
                          <w:rFonts w:eastAsia="宋体"/>
                          <w:lang w:val="en-US" w:eastAsia="zh-CN"/>
                        </w:rPr>
                      </w:pPr>
                      <w:r>
                        <w:rPr>
                          <w:rFonts w:hint="eastAsia" w:eastAsia="宋体"/>
                          <w:lang w:val="en-US" w:eastAsia="zh-CN"/>
                        </w:rPr>
                        <w:t>结果</w:t>
                      </w:r>
                      <w:r>
                        <w:rPr>
                          <w:rFonts w:eastAsia="宋体"/>
                          <w:lang w:val="en-US" w:eastAsia="zh-CN"/>
                        </w:rPr>
                        <w:t>公布</w:t>
                      </w:r>
                    </w:p>
                  </w:txbxContent>
                </v:textbox>
              </v:rect>
            </w:pict>
          </mc:Fallback>
        </mc:AlternateContent>
      </w: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68480" behindDoc="0" locked="0" layoutInCell="1" allowOverlap="1">
                <wp:simplePos x="0" y="0"/>
                <wp:positionH relativeFrom="column">
                  <wp:posOffset>2972435</wp:posOffset>
                </wp:positionH>
                <wp:positionV relativeFrom="paragraph">
                  <wp:posOffset>142240</wp:posOffset>
                </wp:positionV>
                <wp:extent cx="635" cy="670560"/>
                <wp:effectExtent l="48895" t="0" r="64770" b="15240"/>
                <wp:wrapNone/>
                <wp:docPr id="111" name="直线 34"/>
                <wp:cNvGraphicFramePr/>
                <a:graphic xmlns:a="http://schemas.openxmlformats.org/drawingml/2006/main">
                  <a:graphicData uri="http://schemas.microsoft.com/office/word/2010/wordprocessingShape">
                    <wps:wsp>
                      <wps:cNvCnPr/>
                      <wps:spPr>
                        <a:xfrm>
                          <a:off x="0" y="0"/>
                          <a:ext cx="635" cy="670560"/>
                        </a:xfrm>
                        <a:prstGeom prst="line">
                          <a:avLst/>
                        </a:prstGeom>
                        <a:ln w="9525" cap="flat" cmpd="sng">
                          <a:solidFill>
                            <a:srgbClr val="000000"/>
                          </a:solidFill>
                          <a:prstDash val="solid"/>
                          <a:headEnd type="none" w="med" len="med"/>
                          <a:tailEnd type="arrow" w="med" len="med"/>
                        </a:ln>
                      </wps:spPr>
                      <wps:bodyPr/>
                    </wps:wsp>
                  </a:graphicData>
                </a:graphic>
              </wp:anchor>
            </w:drawing>
          </mc:Choice>
          <mc:Fallback>
            <w:pict>
              <v:line id="直线 34" o:spid="_x0000_s1026" o:spt="20" style="position:absolute;left:0pt;margin-left:234.05pt;margin-top:11.2pt;height:52.8pt;width:0.05pt;z-index:251668480;mso-width-relative:page;mso-height-relative:page;" filled="f" stroked="t" coordsize="21600,21600" o:gfxdata="UEsFBgAAAAAAAAAAAAAAAAAAAAAAAFBLAwQKAAAAAACHTuJAAAAAAAAAAAAAAAAABAAAAGRycy9Q&#10;SwMEFAAAAAgAh07iQF63tGHZAAAACgEAAA8AAABkcnMvZG93bnJldi54bWxNj8FOwzAMhu9IvENk&#10;JC6IJY3GVHVNdwAhAYIDHRPXrPGaak1SNdla3h5zYkfbn35/f7mZXc/OOMYueAXZQgBD3wTT+VbB&#10;1/b5PgcWk/ZG98Gjgh+MsKmur0pdmDD5TzzXqWUU4mOhFdiUhoLz2Fh0Oi7CgJ5uhzA6nWgcW25G&#10;PVG467kUYsWd7jx9sHrAR4vNsT45Be1uejUv79/1od89bd8e7qz9cLNStzeZWANLOKd/GP70SR0q&#10;ctqHkzeR9QqWqzwjVIGUS2AE0EIC2xMpcwG8KvllheoXUEsDBBQAAAAIAIdO4kBKB6Q+6gEAANQD&#10;AAAOAAAAZHJzL2Uyb0RvYy54bWytU0uOEzEQ3SNxB8t70p0MCUwrnVlMGDYIIgEHqNjutCX/5PKk&#10;k7NwDVZsOM5cg7I7JMzAYhb0wl0uV72q91xe3hysYXsVUXvX8umk5kw54aV2u5Z//XL36i1nmMBJ&#10;MN6plh8V8pvVyxfLITRq5ntvpIqMQBw2Q2h5n1JoqgpFryzgxAfl6LDz0UKibdxVMsJA6NZUs7pe&#10;VIOPMkQvFCJ51+MhPyHG5wD6rtNCrb24t8qlETUqA4koYa8D8lXptuuUSJ+6DlVipuXENJWVipC9&#10;zWu1WkKzixB6LU4twHNaeMLJgnZU9Ay1hgTsPuq/oKwW0aPv0kR4W41EiiLEYlo/0eZzD0EVLiQ1&#10;hrPo+P9gxcf9JjItaRKmU84cWLryh2/fH378ZFevszxDwIaibt0mnnYYNjFzPXTR5j+xYIci6fEs&#10;qTokJsi5uJpzJsi/eFPPF0Xv6pIZIqb3yluWjZYb7TJdaGD/ARNVo9DfIdltHBtafj2fZUyg2evo&#10;zsm0gfpHtyu56I2Wd9qYnIFxt701ke0h33/5MifCfRSWi6wB+zGuHI2T0SuQ75xk6RhIF0cPgucW&#10;rJKcGUXvJ1sECE0CbS6REKMf/h1KtY2jFrKuo5LZ2np5LAIXP112afI0mHma/tyX7MtjXP0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FgAA&#10;AGRycy9QSwECFAAUAAAACACHTuJAXre0YdkAAAAKAQAADwAAAAAAAAABACAAAAA4AAAAZHJzL2Rv&#10;d25yZXYueG1sUEsBAhQAFAAAAAgAh07iQEoHpD7qAQAA1AMAAA4AAAAAAAAAAQAgAAAAPgEAAGRy&#10;cy9lMm9Eb2MueG1sUEsFBgAAAAAGAAYAWQEAAJoFAAAAAA==&#10;">
                <v:fill on="f" focussize="0,0"/>
                <v:stroke color="#000000" joinstyle="round" endarrow="open"/>
                <v:imagedata o:title=""/>
                <o:lock v:ext="edit" aspectratio="f"/>
              </v:line>
            </w:pict>
          </mc:Fallback>
        </mc:AlternateContent>
      </w:r>
      <w:r>
        <w:rPr>
          <w:rFonts w:hint="default" w:ascii="Times New Roman" w:hAnsi="Times New Roman" w:cs="Times New Roman"/>
          <w:color w:val="000000" w:themeColor="text1"/>
          <w14:textFill>
            <w14:solidFill>
              <w14:schemeClr w14:val="tx1"/>
            </w14:solidFill>
          </w14:textFill>
        </w:rPr>
        <mc:AlternateContent>
          <mc:Choice Requires="wps">
            <w:drawing>
              <wp:anchor distT="0" distB="0" distL="114300" distR="114300" simplePos="0" relativeHeight="251671552" behindDoc="0" locked="0" layoutInCell="1" allowOverlap="1">
                <wp:simplePos x="0" y="0"/>
                <wp:positionH relativeFrom="column">
                  <wp:posOffset>2583180</wp:posOffset>
                </wp:positionH>
                <wp:positionV relativeFrom="paragraph">
                  <wp:posOffset>194310</wp:posOffset>
                </wp:positionV>
                <wp:extent cx="360680" cy="490220"/>
                <wp:effectExtent l="4445" t="4445" r="15875" b="19685"/>
                <wp:wrapNone/>
                <wp:docPr id="110" name="矩形 29"/>
                <wp:cNvGraphicFramePr/>
                <a:graphic xmlns:a="http://schemas.openxmlformats.org/drawingml/2006/main">
                  <a:graphicData uri="http://schemas.microsoft.com/office/word/2010/wordprocessingShape">
                    <wps:wsp>
                      <wps:cNvSpPr/>
                      <wps:spPr>
                        <a:xfrm>
                          <a:off x="0" y="0"/>
                          <a:ext cx="360533" cy="490225"/>
                        </a:xfrm>
                        <a:prstGeom prst="rect">
                          <a:avLst/>
                        </a:prstGeom>
                        <a:solidFill>
                          <a:srgbClr val="FFFFFF"/>
                        </a:solidFill>
                        <a:ln w="9525" cap="flat" cmpd="sng">
                          <a:solidFill>
                            <a:srgbClr val="FFFFFF"/>
                          </a:solidFill>
                          <a:prstDash val="solid"/>
                          <a:miter/>
                          <a:headEnd type="none" w="med" len="med"/>
                          <a:tailEnd type="none" w="med" len="med"/>
                        </a:ln>
                      </wps:spPr>
                      <wps:txbx>
                        <w:txbxContent>
                          <w:p>
                            <w:pPr>
                              <w:rPr>
                                <w:rFonts w:eastAsia="宋体"/>
                                <w:lang w:val="en-US" w:eastAsia="zh-CN"/>
                              </w:rPr>
                            </w:pPr>
                            <w:r>
                              <w:rPr>
                                <w:rFonts w:hint="eastAsia" w:eastAsia="宋体"/>
                                <w:lang w:val="en-US" w:eastAsia="zh-CN"/>
                              </w:rPr>
                              <w:t>通</w:t>
                            </w:r>
                          </w:p>
                          <w:p>
                            <w:pPr>
                              <w:rPr>
                                <w:rFonts w:eastAsia="宋体"/>
                                <w:lang w:val="en-US" w:eastAsia="zh-CN"/>
                              </w:rPr>
                            </w:pPr>
                            <w:r>
                              <w:rPr>
                                <w:rFonts w:hint="eastAsia" w:eastAsia="宋体"/>
                                <w:lang w:val="en-US" w:eastAsia="zh-CN"/>
                              </w:rPr>
                              <w:t>过</w:t>
                            </w:r>
                          </w:p>
                        </w:txbxContent>
                      </wps:txbx>
                      <wps:bodyPr upright="1"/>
                    </wps:wsp>
                  </a:graphicData>
                </a:graphic>
              </wp:anchor>
            </w:drawing>
          </mc:Choice>
          <mc:Fallback>
            <w:pict>
              <v:rect id="矩形 29" o:spid="_x0000_s1026" o:spt="1" style="position:absolute;left:0pt;margin-left:203.4pt;margin-top:15.3pt;height:38.6pt;width:28.4pt;z-index:251671552;mso-width-relative:page;mso-height-relative:page;" fillcolor="#FFFFFF" filled="t" stroked="t" coordsize="21600,21600" o:gfxdata="UEsFBgAAAAAAAAAAAAAAAAAAAAAAAFBLAwQKAAAAAACHTuJAAAAAAAAAAAAAAAAABAAAAGRycy9Q&#10;SwMEFAAAAAgAh07iQAp8IPPXAAAACgEAAA8AAABkcnMvZG93bnJldi54bWxNj8tOwzAQRfdI/IM1&#10;SOyoXRqFKsSpRAliw6IU2E/tIYnwI4rdF1/PsILdjObozrn16uSdONCUhhg0zGcKBAUT7RA6De9v&#10;TzdLECljsOhiIA1nSrBqLi9qrGw8hlc6bHMnOCSkCjX0OY+VlMn05DHN4kiBb59x8ph5nTppJzxy&#10;uHfyVqlSehwCf+hxpHVP5mu79xo2iI+b72djHtrzS9HS+qOl6LS+vpqrexCZTvkPhl99VoeGnXZx&#10;H2wSTkOhSlbPGhaqBMFAUS542DGp7pYgm1r+r9D8AFBLAwQUAAAACACHTuJAp48oxP4BAAArBAAA&#10;DgAAAGRycy9lMm9Eb2MueG1srVPNjtMwEL4j8Q6W7zRpy65o1HQPlHJBsNLCA0wdJ7HkP3ncJn0a&#10;JG48BI+DeA3GTumyy6UHcnBm7PE3830zXt+NRrOjDKicrfl8VnImrXCNsl3Nv3zevXrDGUawDWhn&#10;Zc1PEvnd5uWL9eAruXC9040MjEAsVoOveR+jr4oCRS8N4Mx5aemwdcFAJDd0RRNgIHSji0VZ3haD&#10;C40PTkhE2t1Oh/yMGK4BdG2rhNw6cTDSxgk1SA2RKGGvPPJNrrZtpYif2hZlZLrmxDTmlZKQvU9r&#10;sVlD1QXwvRLnEuCaEp5xMqAsJb1AbSECOwT1D5RRIjh0bZwJZ4qJSFaEWMzLZ9o89OBl5kJSo7+I&#10;jv8PVnw83gemGpqEOWliwVDLf339/vPHN7ZYJXkGjxVFPfj7cPaQzMR1bINJf2LBxizp6SKpHCMT&#10;tLm8LW+WS84EHb1elYvFTcIsHi/7gPG9dIYlo+aBOpaFhOMHjFPon5CUC51WzU5pnZ3Q7d/qwI5A&#10;3d3l74z+JExbNtR8dUO5mQAa2ZZGhUzjiTbaLud7cgOvA06FbQH7qYCMkPJDZVSUSS2oegnNO9uw&#10;ePIkrKUXxVMxRjacaUkPMFk5MoLS10SSdtqShKkvUyeSFcf9SDDJ3LvmRD09+KC6niSdZ03SCc1Q&#10;1v4872lI//Yz6OMb3/wG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FgAAAGRycy9QSwECFAAUAAAACACHTuJACnwg89cAAAAKAQAADwAAAAAA&#10;AAABACAAAAA4AAAAZHJzL2Rvd25yZXYueG1sUEsBAhQAFAAAAAgAh07iQKePKMT+AQAAKwQAAA4A&#10;AAAAAAAAAQAgAAAAPAEAAGRycy9lMm9Eb2MueG1sUEsFBgAAAAAGAAYAWQEAAKwFAAAAAA==&#10;">
                <v:fill on="t" focussize="0,0"/>
                <v:stroke color="#FFFFFF" joinstyle="miter"/>
                <v:imagedata o:title=""/>
                <o:lock v:ext="edit" aspectratio="f"/>
                <v:textbox>
                  <w:txbxContent>
                    <w:p>
                      <w:pPr>
                        <w:rPr>
                          <w:rFonts w:eastAsia="宋体"/>
                          <w:lang w:val="en-US" w:eastAsia="zh-CN"/>
                        </w:rPr>
                      </w:pPr>
                      <w:r>
                        <w:rPr>
                          <w:rFonts w:hint="eastAsia" w:eastAsia="宋体"/>
                          <w:lang w:val="en-US" w:eastAsia="zh-CN"/>
                        </w:rPr>
                        <w:t>通</w:t>
                      </w:r>
                    </w:p>
                    <w:p>
                      <w:pPr>
                        <w:rPr>
                          <w:rFonts w:eastAsia="宋体"/>
                          <w:lang w:val="en-US" w:eastAsia="zh-CN"/>
                        </w:rPr>
                      </w:pPr>
                      <w:r>
                        <w:rPr>
                          <w:rFonts w:hint="eastAsia" w:eastAsia="宋体"/>
                          <w:lang w:val="en-US" w:eastAsia="zh-CN"/>
                        </w:rPr>
                        <w:t>过</w:t>
                      </w:r>
                    </w:p>
                  </w:txbxContent>
                </v:textbox>
              </v:rect>
            </w:pict>
          </mc:Fallback>
        </mc:AlternateContent>
      </w:r>
      <w:r>
        <w:rPr>
          <w:rFonts w:hint="default" w:ascii="Times New Roman" w:hAnsi="Times New Roman" w:cs="Times New Roman"/>
          <w:color w:val="000000" w:themeColor="text1"/>
          <w:lang w:val="en-US" w:eastAsia="zh-CN"/>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bookmarkStart w:id="669" w:name="_Toc11986"/>
      <w:bookmarkStart w:id="670" w:name="_Toc23045"/>
      <w:r>
        <w:rPr>
          <w:rFonts w:hint="default" w:ascii="Times New Roman" w:hAnsi="Times New Roman" w:cs="Times New Roman"/>
          <w:color w:val="000000" w:themeColor="text1"/>
          <w:lang w:val="en-US" w:eastAsia="zh-CN"/>
          <w14:textFill>
            <w14:solidFill>
              <w14:schemeClr w14:val="tx1"/>
            </w14:solidFill>
          </w14:textFill>
        </w:rPr>
        <w:t>附录C 安全生产管理制度清单</w:t>
      </w:r>
      <w:bookmarkEnd w:id="665"/>
      <w:bookmarkEnd w:id="666"/>
      <w:bookmarkEnd w:id="667"/>
      <w:bookmarkEnd w:id="669"/>
      <w:bookmarkEnd w:id="670"/>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录C</w:t>
      </w:r>
    </w:p>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spacing w:line="360" w:lineRule="auto"/>
        <w:ind w:firstLine="2529" w:firstLineChars="12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安全生产管理制度清单</w:t>
      </w:r>
    </w:p>
    <w:p>
      <w:pPr>
        <w:pStyle w:val="11"/>
        <w:shd w:val="clear" w:color="auto" w:fill="auto"/>
        <w:tabs>
          <w:tab w:val="left" w:leader="dot" w:pos="3383"/>
        </w:tabs>
        <w:spacing w:before="0" w:line="360" w:lineRule="auto"/>
        <w:jc w:val="both"/>
        <w:rPr>
          <w:rFonts w:hint="default" w:ascii="Times New Roman" w:hAnsi="Times New Roman" w:eastAsia="宋体" w:cs="Times New Roman"/>
          <w:color w:val="000000" w:themeColor="text1"/>
          <w:sz w:val="21"/>
          <w:szCs w:val="21"/>
          <w14:textFill>
            <w14:solidFill>
              <w14:schemeClr w14:val="tx1"/>
            </w14:solidFill>
          </w14:textFill>
        </w:rPr>
      </w:pP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测绘单位的安全生产管理制度，</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可根据本单位安全生产管理需要分类综合一个或几个，其内容</w:t>
      </w:r>
      <w:r>
        <w:rPr>
          <w:rFonts w:hint="default" w:ascii="Times New Roman" w:hAnsi="Times New Roman" w:eastAsia="宋体" w:cs="Times New Roman"/>
          <w:color w:val="000000" w:themeColor="text1"/>
          <w:sz w:val="21"/>
          <w:szCs w:val="21"/>
          <w14:textFill>
            <w14:solidFill>
              <w14:schemeClr w14:val="tx1"/>
            </w14:solidFill>
          </w14:textFill>
        </w:rPr>
        <w:t>包括但不限于以下制度：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1.全员安全生产责任制度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2.安全教育培训制度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3.隐患排查治理制度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4.安全风险分级管控制度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5.安全检查制度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6.安全例会制度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7.安全生产档案管理制度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8.危险作业管理制度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9.测绘仪器设备安全管理制度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10.外业作业人员安全防护用品管理制度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11.安全投入制度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12.事故报告调查和处理制度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13.安全生产奖惩考核制度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14.职业健康管理制度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15.信息数据安全保密制度</w:t>
      </w:r>
    </w:p>
    <w:p>
      <w:pPr>
        <w:pStyle w:val="11"/>
        <w:shd w:val="clear" w:color="auto" w:fill="auto"/>
        <w:tabs>
          <w:tab w:val="left" w:leader="dot" w:pos="3383"/>
        </w:tabs>
        <w:spacing w:before="0" w:line="360" w:lineRule="auto"/>
        <w:ind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16.应急管理制度</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cs="Times New Roman"/>
          <w:color w:val="000000" w:themeColor="text1"/>
          <w:lang w:val="en-US" w:eastAsia="zh-CN"/>
          <w14:textFill>
            <w14:solidFill>
              <w14:schemeClr w14:val="tx1"/>
            </w14:solidFill>
          </w14:textFill>
        </w:rPr>
      </w:pPr>
      <w:bookmarkStart w:id="671" w:name="_Toc11643"/>
      <w:bookmarkStart w:id="672" w:name="_Toc14070"/>
      <w:bookmarkStart w:id="673" w:name="_Toc30370"/>
      <w:bookmarkStart w:id="674" w:name="_Toc21400"/>
      <w:bookmarkStart w:id="675" w:name="_Toc7965"/>
      <w:r>
        <w:rPr>
          <w:rFonts w:hint="default" w:ascii="Times New Roman" w:hAnsi="Times New Roman" w:cs="Times New Roman"/>
          <w:color w:val="000000" w:themeColor="text1"/>
          <w:lang w:val="en-US" w:eastAsia="zh-CN"/>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附录D 安全生产责任书</w:t>
      </w:r>
      <w:bookmarkEnd w:id="671"/>
      <w:bookmarkEnd w:id="672"/>
      <w:bookmarkEnd w:id="673"/>
      <w:bookmarkEnd w:id="674"/>
      <w:bookmarkEnd w:id="675"/>
    </w:p>
    <w:p>
      <w:pPr>
        <w:spacing w:line="360" w:lineRule="auto"/>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录D</w:t>
      </w:r>
    </w:p>
    <w:p>
      <w:pPr>
        <w:spacing w:line="360" w:lineRule="auto"/>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spacing w:before="156" w:beforeLines="50" w:after="312" w:afterLines="100" w:line="360" w:lineRule="auto"/>
        <w:ind w:firstLine="2951" w:firstLineChars="1400"/>
        <w:jc w:val="both"/>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安全生产责任书</w:t>
      </w:r>
    </w:p>
    <w:p>
      <w:pPr>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为贯彻落实“安全第一，预防为主、综合治理”的方针，全面执行**单位安全生产责任制，强化安全管理，有效遏制安全事故的发生，维护**单位正常的生产、工作和生活秩序，确保员工人身、财产安全及单位财产的安全，特与</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签订</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年度安全生产责任书。</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1.认真贯彻执行国家关于安全生产的方针、政策、法律、法规和技术标准，严格遵照《**单位安全生产管理规定》的规定和要求。</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2.积极参加各种形式的安全教育、培训活动，认真了解和明晰安全交底的所有内容并签名。</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3.作业时按规程和符合安全生产要求的方法作业,不违章指挥和违章作业。</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4.作业过程中，严格按操作要求正确使用仪器、设备、工具及安全防护装备，测绘仪器由专人管理，避免丢失与损坏。</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5.作业过程中，发现不安全因素及时组织力量消除，并报告单位领导；若发生事故立即报告，并组织抢救，保护现场，做好详细记录。</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6.本人作为本岗位安全生产责任人，愿按照岗位职责履行安全生产责任。如违反本单位安全生产有关要求和规定，造成不良后果的，接受单位依规处理，并依法承担相应责任。</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7.安全生产目标</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（1）人身伤亡事故为零。</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（2）杜绝违章操作事故。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（3）杜绝个人责任事故。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（4）杜绝职业卫生伤害和中毒事故。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（5）杜绝火灾和交通安全责任事故。</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（6）安全防护用品、仪器设备使用合格率100%。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（7）安全隐患整改率100%。</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（8）安全教育培训率100%。</w:t>
      </w:r>
    </w:p>
    <w:p>
      <w:pPr>
        <w:ind w:firstLine="3990" w:firstLineChars="1900"/>
        <w:rPr>
          <w:rFonts w:hint="default" w:ascii="Times New Roman" w:hAnsi="Times New Roman" w:eastAsia="宋体" w:cs="Times New Roman"/>
          <w:color w:val="000000" w:themeColor="text1"/>
          <w:sz w:val="21"/>
          <w:szCs w:val="21"/>
          <w:lang w:eastAsia="zh-CN"/>
          <w14:textFill>
            <w14:solidFill>
              <w14:schemeClr w14:val="tx1"/>
            </w14:solidFill>
          </w14:textFill>
        </w:rPr>
      </w:pP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承诺人</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签名）</w:t>
      </w:r>
      <w:r>
        <w:rPr>
          <w:rFonts w:hint="default" w:ascii="Times New Roman" w:hAnsi="Times New Roman" w:eastAsia="宋体" w:cs="Times New Roman"/>
          <w:color w:val="000000" w:themeColor="text1"/>
          <w:sz w:val="21"/>
          <w:szCs w:val="21"/>
          <w14:textFill>
            <w14:solidFill>
              <w14:schemeClr w14:val="tx1"/>
            </w14:solidFill>
          </w14:textFill>
        </w:rPr>
        <w:t>：</w:t>
      </w: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 年  月  日</w:t>
      </w: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p>
    <w:p>
      <w:pPr>
        <w:widowControl/>
        <w:rPr>
          <w:rFonts w:hint="default" w:ascii="Times New Roman" w:hAnsi="Times New Roman" w:cs="Times New Roman"/>
          <w:color w:val="000000" w:themeColor="text1"/>
          <w:lang w:val="en-US" w:eastAsia="zh-CN"/>
          <w14:textFill>
            <w14:solidFill>
              <w14:schemeClr w14:val="tx1"/>
            </w14:solidFill>
          </w14:textFill>
        </w:rPr>
      </w:pPr>
      <w:bookmarkStart w:id="676" w:name="_Toc26829"/>
      <w:bookmarkStart w:id="677" w:name="_Toc10174"/>
      <w:bookmarkStart w:id="678" w:name="_Toc1264"/>
      <w:bookmarkStart w:id="679" w:name="_Toc21019"/>
      <w:bookmarkStart w:id="680" w:name="_Toc3029"/>
      <w:r>
        <w:rPr>
          <w:rFonts w:hint="default" w:ascii="Times New Roman" w:hAnsi="Times New Roman" w:cs="Times New Roman"/>
          <w:color w:val="000000" w:themeColor="text1"/>
          <w:lang w:val="en-US" w:eastAsia="zh-CN"/>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附录E 员工安全生产教育和培训档案</w:t>
      </w:r>
      <w:bookmarkEnd w:id="676"/>
      <w:bookmarkEnd w:id="677"/>
      <w:bookmarkEnd w:id="678"/>
      <w:bookmarkEnd w:id="679"/>
      <w:bookmarkEnd w:id="680"/>
    </w:p>
    <w:p>
      <w:pPr>
        <w:ind w:firstLine="3990" w:firstLineChars="1900"/>
        <w:rPr>
          <w:rFonts w:hint="default" w:ascii="Times New Roman" w:hAnsi="Times New Roman" w:eastAsia="宋体" w:cs="Times New Roman"/>
          <w:color w:val="000000" w:themeColor="text1"/>
          <w:sz w:val="21"/>
          <w:szCs w:val="21"/>
          <w14:textFill>
            <w14:solidFill>
              <w14:schemeClr w14:val="tx1"/>
            </w14:solidFill>
          </w14:textFill>
        </w:rPr>
      </w:pPr>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录E</w:t>
      </w:r>
    </w:p>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员工安全生产教育和培训档案</w:t>
      </w:r>
    </w:p>
    <w:tbl>
      <w:tblPr>
        <w:tblStyle w:val="8"/>
        <w:tblpPr w:leftFromText="180" w:rightFromText="180" w:vertAnchor="text" w:horzAnchor="page" w:tblpX="1883" w:tblpY="63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7"/>
        <w:gridCol w:w="2339"/>
        <w:gridCol w:w="1342"/>
        <w:gridCol w:w="1710"/>
        <w:gridCol w:w="1092"/>
        <w:gridCol w:w="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1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姓</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名</w:t>
            </w:r>
          </w:p>
        </w:tc>
        <w:tc>
          <w:tcPr>
            <w:tcW w:w="24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firstLine="210" w:firstLineChars="10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别</w:t>
            </w:r>
          </w:p>
        </w:tc>
        <w:tc>
          <w:tcPr>
            <w:tcW w:w="178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firstLine="420" w:firstLineChars="20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2072" w:type="dxa"/>
            <w:gridSpan w:val="2"/>
            <w:vMerge w:val="restart"/>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11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身份证号</w:t>
            </w:r>
          </w:p>
        </w:tc>
        <w:tc>
          <w:tcPr>
            <w:tcW w:w="24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手机号码</w:t>
            </w:r>
          </w:p>
        </w:tc>
        <w:tc>
          <w:tcPr>
            <w:tcW w:w="178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 w:hRule="atLeast"/>
        </w:trPr>
        <w:tc>
          <w:tcPr>
            <w:tcW w:w="1169"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入职时间</w:t>
            </w:r>
          </w:p>
        </w:tc>
        <w:tc>
          <w:tcPr>
            <w:tcW w:w="244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365"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档案号</w:t>
            </w:r>
          </w:p>
        </w:tc>
        <w:tc>
          <w:tcPr>
            <w:tcW w:w="1787" w:type="dxa"/>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0" w:type="auto"/>
            <w:gridSpan w:val="2"/>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69"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培训级别</w:t>
            </w:r>
          </w:p>
        </w:tc>
        <w:tc>
          <w:tcPr>
            <w:tcW w:w="2447"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firstLine="105" w:firstLineChars="50"/>
              <w:jc w:val="both"/>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培训日期</w:t>
            </w:r>
          </w:p>
        </w:tc>
        <w:tc>
          <w:tcPr>
            <w:tcW w:w="3152" w:type="dxa"/>
            <w:gridSpan w:val="2"/>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firstLine="948" w:firstLineChars="450"/>
              <w:jc w:val="both"/>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培训内容</w:t>
            </w:r>
          </w:p>
        </w:tc>
        <w:tc>
          <w:tcPr>
            <w:tcW w:w="1132"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考核结果</w:t>
            </w:r>
          </w:p>
        </w:tc>
        <w:tc>
          <w:tcPr>
            <w:tcW w:w="940" w:type="dxa"/>
            <w:tcBorders>
              <w:top w:val="single" w:color="000000" w:sz="4" w:space="0"/>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培训者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restart"/>
            <w:tcBorders>
              <w:top w:val="single" w:color="000000" w:sz="4" w:space="0"/>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w:t>
            </w: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restart"/>
            <w:tcBorders>
              <w:top w:val="single" w:color="000000" w:sz="4" w:space="0"/>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部门</w:t>
            </w: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restart"/>
            <w:tcBorders>
              <w:top w:val="single" w:color="000000" w:sz="4" w:space="0"/>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班组</w:t>
            </w: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1169" w:type="dxa"/>
            <w:vMerge w:val="continue"/>
            <w:tcBorders>
              <w:left w:val="single" w:color="000000" w:sz="4" w:space="0"/>
              <w:bottom w:val="single" w:color="000000" w:sz="4" w:space="0"/>
              <w:right w:val="single" w:color="000000" w:sz="4" w:space="0"/>
            </w:tcBorders>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447"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3152" w:type="dxa"/>
            <w:gridSpan w:val="2"/>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1132"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940" w:type="dxa"/>
            <w:tcBorders>
              <w:top w:val="single" w:color="000000" w:sz="4" w:space="0"/>
              <w:left w:val="single" w:color="000000" w:sz="4" w:space="0"/>
              <w:bottom w:val="single" w:color="000000" w:sz="4" w:space="0"/>
              <w:right w:val="single" w:color="000000" w:sz="4" w:space="0"/>
            </w:tcBorders>
            <w:vAlign w:val="top"/>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bl>
    <w:p>
      <w:pPr>
        <w:rPr>
          <w:rFonts w:hint="default" w:ascii="Times New Roman" w:hAnsi="Times New Roman" w:eastAsia="宋体" w:cs="Times New Roman"/>
          <w:color w:val="000000" w:themeColor="text1"/>
          <w:szCs w:val="21"/>
          <w14:textFill>
            <w14:solidFill>
              <w14:schemeClr w14:val="tx1"/>
            </w14:solidFill>
          </w14:textFill>
        </w:rPr>
      </w:pPr>
    </w:p>
    <w:p>
      <w:pPr>
        <w:widowControl/>
        <w:rPr>
          <w:rFonts w:hint="default" w:ascii="Times New Roman" w:hAnsi="Times New Roman" w:cs="Times New Roman"/>
          <w:color w:val="000000" w:themeColor="text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br w:type="page"/>
      </w:r>
    </w:p>
    <w:p>
      <w:pPr>
        <w:pStyle w:val="2"/>
        <w:widowControl/>
        <w:spacing w:before="0" w:line="360" w:lineRule="auto"/>
        <w:rPr>
          <w:rFonts w:hint="default" w:ascii="Times New Roman" w:hAnsi="Times New Roman" w:cs="Times New Roman"/>
          <w:color w:val="000000" w:themeColor="text1"/>
          <w:lang w:val="en-US" w:eastAsia="zh-CN"/>
          <w14:textFill>
            <w14:solidFill>
              <w14:schemeClr w14:val="tx1"/>
            </w14:solidFill>
          </w14:textFill>
        </w:rPr>
      </w:pPr>
      <w:bookmarkStart w:id="681" w:name="_Toc31570"/>
      <w:bookmarkStart w:id="682" w:name="_Toc30876"/>
      <w:bookmarkStart w:id="683" w:name="_Toc31337"/>
      <w:bookmarkStart w:id="684" w:name="_Toc12631"/>
      <w:bookmarkStart w:id="685" w:name="_Toc4367"/>
      <w:r>
        <w:rPr>
          <w:rFonts w:hint="default" w:ascii="Times New Roman" w:hAnsi="Times New Roman" w:cs="Times New Roman"/>
          <w:color w:val="000000" w:themeColor="text1"/>
          <w:lang w:val="en-US" w:eastAsia="zh-CN"/>
          <w14:textFill>
            <w14:solidFill>
              <w14:schemeClr w14:val="tx1"/>
            </w14:solidFill>
          </w14:textFill>
        </w:rPr>
        <w:t>附录F 外业作业通用安全要求</w:t>
      </w:r>
      <w:bookmarkEnd w:id="668"/>
      <w:bookmarkEnd w:id="681"/>
      <w:bookmarkEnd w:id="682"/>
      <w:bookmarkEnd w:id="683"/>
      <w:bookmarkEnd w:id="684"/>
      <w:bookmarkEnd w:id="685"/>
    </w:p>
    <w:p>
      <w:pPr>
        <w:pStyle w:val="11"/>
        <w:tabs>
          <w:tab w:val="left" w:leader="dot" w:pos="3383"/>
        </w:tabs>
        <w:spacing w:before="0" w:line="360" w:lineRule="auto"/>
        <w:jc w:val="center"/>
        <w:rPr>
          <w:rFonts w:hint="default" w:ascii="Times New Roman" w:hAnsi="Times New Roman" w:eastAsia="宋体" w:cs="Times New Roman"/>
          <w:b/>
          <w:bCs/>
          <w:color w:val="000000" w:themeColor="text1"/>
          <w:sz w:val="21"/>
          <w:szCs w:val="21"/>
          <w:lang w:eastAsia="zh-CN"/>
          <w14:textFill>
            <w14:solidFill>
              <w14:schemeClr w14:val="tx1"/>
            </w14:solidFill>
          </w14:textFill>
        </w:rPr>
      </w:pPr>
      <w:bookmarkStart w:id="686" w:name="_Toc30078"/>
      <w:bookmarkStart w:id="687" w:name="_Toc17160"/>
      <w:bookmarkStart w:id="688" w:name="_Toc16922"/>
      <w:bookmarkStart w:id="689" w:name="_Toc20787"/>
      <w:bookmarkStart w:id="690" w:name="_Toc10691"/>
      <w:bookmarkStart w:id="691" w:name="_Toc25532"/>
      <w:bookmarkStart w:id="692" w:name="_Toc17844"/>
      <w:bookmarkStart w:id="693" w:name="_Toc24704"/>
      <w:r>
        <w:rPr>
          <w:rFonts w:hint="default" w:ascii="Times New Roman" w:hAnsi="Times New Roman" w:eastAsia="宋体" w:cs="Times New Roman"/>
          <w:b/>
          <w:bCs/>
          <w:color w:val="000000" w:themeColor="text1"/>
          <w:sz w:val="21"/>
          <w:szCs w:val="21"/>
          <w14:textFill>
            <w14:solidFill>
              <w14:schemeClr w14:val="tx1"/>
            </w14:solidFill>
          </w14:textFill>
        </w:rPr>
        <w:t>附  录</w:t>
      </w: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F</w:t>
      </w:r>
    </w:p>
    <w:bookmarkEnd w:id="686"/>
    <w:bookmarkEnd w:id="687"/>
    <w:bookmarkEnd w:id="688"/>
    <w:bookmarkEnd w:id="689"/>
    <w:bookmarkEnd w:id="690"/>
    <w:bookmarkEnd w:id="691"/>
    <w:bookmarkEnd w:id="692"/>
    <w:bookmarkEnd w:id="693"/>
    <w:p>
      <w:pPr>
        <w:pStyle w:val="11"/>
        <w:tabs>
          <w:tab w:val="left" w:leader="dot" w:pos="3383"/>
        </w:tabs>
        <w:spacing w:before="0" w:line="360" w:lineRule="auto"/>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14:textFill>
            <w14:solidFill>
              <w14:schemeClr w14:val="tx1"/>
            </w14:solidFill>
          </w14:textFill>
        </w:rPr>
        <w:t>(资料性）</w:t>
      </w:r>
    </w:p>
    <w:p>
      <w:pPr>
        <w:pStyle w:val="11"/>
        <w:tabs>
          <w:tab w:val="left" w:leader="dot" w:pos="3383"/>
        </w:tabs>
        <w:spacing w:line="360" w:lineRule="auto"/>
        <w:ind w:firstLine="3373" w:firstLineChars="1600"/>
        <w:jc w:val="both"/>
        <w:rPr>
          <w:rFonts w:hint="default" w:ascii="Times New Roman" w:hAnsi="Times New Roman" w:eastAsia="宋体" w:cs="Times New Roman"/>
          <w:b/>
          <w:bCs/>
          <w:color w:val="000000" w:themeColor="text1"/>
          <w:sz w:val="21"/>
          <w:szCs w:val="21"/>
          <w14:textFill>
            <w14:solidFill>
              <w14:schemeClr w14:val="tx1"/>
            </w14:solidFill>
          </w14:textFill>
        </w:rPr>
      </w:pPr>
      <w:bookmarkStart w:id="694" w:name="_Toc16523"/>
      <w:bookmarkStart w:id="695" w:name="_Toc3743"/>
      <w:bookmarkStart w:id="696" w:name="_Toc10264"/>
      <w:bookmarkStart w:id="697" w:name="_Toc17491"/>
      <w:bookmarkStart w:id="698" w:name="_Toc16467"/>
      <w:bookmarkStart w:id="699" w:name="_Toc29806"/>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外业</w:t>
      </w:r>
      <w:r>
        <w:rPr>
          <w:rFonts w:hint="default" w:ascii="Times New Roman" w:hAnsi="Times New Roman" w:eastAsia="宋体" w:cs="Times New Roman"/>
          <w:b/>
          <w:bCs/>
          <w:color w:val="000000" w:themeColor="text1"/>
          <w:sz w:val="21"/>
          <w:szCs w:val="21"/>
          <w14:textFill>
            <w14:solidFill>
              <w14:schemeClr w14:val="tx1"/>
            </w14:solidFill>
          </w14:textFill>
        </w:rPr>
        <w:t>作业通用安全要求</w:t>
      </w:r>
      <w:bookmarkEnd w:id="694"/>
      <w:bookmarkEnd w:id="695"/>
      <w:bookmarkEnd w:id="696"/>
      <w:bookmarkEnd w:id="697"/>
      <w:bookmarkEnd w:id="698"/>
      <w:bookmarkEnd w:id="699"/>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8"/>
        <w:gridCol w:w="1650"/>
        <w:gridCol w:w="60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858"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序号</w:t>
            </w:r>
          </w:p>
        </w:tc>
        <w:tc>
          <w:tcPr>
            <w:tcW w:w="1650"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指标名称</w:t>
            </w:r>
          </w:p>
        </w:tc>
        <w:tc>
          <w:tcPr>
            <w:tcW w:w="6014"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通用安全要求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858"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650" w:type="dxa"/>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安全原则</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坚持安全第一、预防为主、综合治理方针，遵守安全生产法律法规、标准和安全管理制度，在安全的环境下作业，在作业中确保人身和测量设备安全。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trPr>
        <w:tc>
          <w:tcPr>
            <w:tcW w:w="858"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650" w:type="dxa"/>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安全责任</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根据法律法规标准和安全管理制度要求，落实好安全生产责任。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858"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650" w:type="dxa"/>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安全培训</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积极主动参加单位及各管理部门组织的安全教育培训，如交通安全培训、消防知识培训和演练、应急救援相关培训、卫生（心理）健康培训、防疫培训等，强化安全生产意识，掌握安全生产技能。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4" w:hRule="atLeast"/>
        </w:trPr>
        <w:tc>
          <w:tcPr>
            <w:tcW w:w="858" w:type="dxa"/>
            <w:vAlign w:val="center"/>
          </w:tcPr>
          <w:p>
            <w:pPr>
              <w:keepNext w:val="0"/>
              <w:keepLines w:val="0"/>
              <w:widowControl/>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650" w:type="dxa"/>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安全防护</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根据不同的作业环境，作业前严格按规定穿戴好安全防护用品，配备好安全保障装备，如野外安全防护装备、常用药品、应急通讯设施、消防器材等。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安全检查</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安全员应随时检查现场的安全情况，发现安全隐患立即整改。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出测前准备</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应按《测绘作业人员安全规范》的“出测前准备”要求做好各项工作。必要时根据测量任务制定相应的安全工作方案，确保测量作业人员和设备安全。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行车安全</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应按《测绘作业人员安全规范》的“行车”要求，做好各项工作。必要时根据测量任务和应急测绘存在的安全风险，制定行车安全工作方案。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6"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饮食安全</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应按《测绘作业人员安全规范》的“饮食”要求做好各项工作；发生食物中毒、严重身体不适等紧急情况时，应及时向本单位安全应急领导小组报告，并按指示开展后续工作；情况紧急的，应立即拨打120。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住宿安全</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应按《测绘作业人员安全规范》的“住宿”要求，做好各项工作。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4"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特殊作业环境</w:t>
            </w:r>
          </w:p>
        </w:tc>
        <w:tc>
          <w:tcPr>
            <w:tcW w:w="6014" w:type="dxa"/>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进入军事要地、边境、少数民族地区、林区、自然保护区或其他特殊防护地区作业时，应事先征得有关部门同意，携带相应工作证件或证明材料，必要时可请有关部门派人陪同。了解当地民情和社会治安等情况，遵守所在地的风俗习惯及有关的安全规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在高压输电线路、电网等区域作业时，应采取必要安全防范措施，避免人员和标尺、测杆、棱镜支杆等测量设备靠近高压线路，严禁使用非绝缘的标尺、测杆、棱镜支杆等。</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进入沼泽、高山、岛礁、人烟稀少地区或原始森林地区作业前，应认真了解掌握测区水源、居民、道路、气象、方位等情况，并及时记录。应配备必要的通信器材，保持个人与小组、小组与中队的联系；应配备必要的判定方位的工具，如导航定位仪器、地形图等。必要时可聘请熟悉当地情况的向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trPr>
        <w:tc>
          <w:tcPr>
            <w:tcW w:w="85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w:t>
            </w:r>
          </w:p>
        </w:tc>
        <w:tc>
          <w:tcPr>
            <w:tcW w:w="165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井下（有限空间）作业</w:t>
            </w:r>
          </w:p>
        </w:tc>
        <w:tc>
          <w:tcPr>
            <w:tcW w:w="601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下井（有限空间）作业前必须学习相关安全规程，掌握井下（有限空间）安全应急知识，落实作业审批、现场警戒、通风检测、专人监护和应急救援准备。虽不进入井下空间但需开启井盖、接近井口或道路占道作业的，也应落实防坠落、防中毒窒息和交通警示措施。</w:t>
            </w:r>
          </w:p>
        </w:tc>
      </w:tr>
    </w:tbl>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pStyle w:val="11"/>
        <w:shd w:val="clear" w:color="auto" w:fill="auto"/>
        <w:tabs>
          <w:tab w:val="left" w:leader="dot" w:pos="3383"/>
        </w:tabs>
        <w:spacing w:before="0" w:line="360" w:lineRule="auto"/>
        <w:jc w:val="center"/>
        <w:rPr>
          <w:rFonts w:hint="default" w:ascii="Times New Roman" w:hAnsi="Times New Roman" w:cs="Times New Roman"/>
          <w:color w:val="000000" w:themeColor="text1"/>
          <w:sz w:val="28"/>
          <w:szCs w:val="28"/>
          <w14:textFill>
            <w14:solidFill>
              <w14:schemeClr w14:val="tx1"/>
            </w14:solidFill>
          </w14:textFill>
        </w:rPr>
      </w:pPr>
    </w:p>
    <w:p>
      <w:pPr>
        <w:widowControl/>
        <w:rPr>
          <w:rFonts w:hint="default" w:ascii="Times New Roman" w:hAnsi="Times New Roman" w:eastAsia="黑体" w:cs="Times New Roman"/>
          <w:color w:val="000000" w:themeColor="text1"/>
          <w:kern w:val="2"/>
          <w:sz w:val="28"/>
          <w:szCs w:val="28"/>
          <w:lang w:val="en-US" w:eastAsia="zh-CN" w:bidi="ar-SA"/>
          <w14:textFill>
            <w14:solidFill>
              <w14:schemeClr w14:val="tx1"/>
            </w14:solidFill>
          </w14:textFill>
        </w:rPr>
      </w:pPr>
      <w:r>
        <w:rPr>
          <w:rFonts w:hint="default" w:ascii="Times New Roman" w:hAnsi="Times New Roman" w:cs="Times New Roman"/>
          <w:color w:val="000000" w:themeColor="text1"/>
          <w:sz w:val="28"/>
          <w:szCs w:val="28"/>
          <w14:textFill>
            <w14:solidFill>
              <w14:schemeClr w14:val="tx1"/>
            </w14:solidFill>
          </w14:textFill>
        </w:rPr>
        <w:br w:type="page"/>
      </w:r>
    </w:p>
    <w:p>
      <w:pPr>
        <w:pStyle w:val="2"/>
        <w:widowControl/>
        <w:spacing w:before="0" w:line="240" w:lineRule="auto"/>
        <w:rPr>
          <w:rFonts w:hint="default" w:ascii="Times New Roman" w:hAnsi="Times New Roman" w:cs="Times New Roman"/>
          <w:color w:val="000000" w:themeColor="text1"/>
          <w:lang w:val="en-US" w:eastAsia="zh-CN"/>
          <w14:textFill>
            <w14:solidFill>
              <w14:schemeClr w14:val="tx1"/>
            </w14:solidFill>
          </w14:textFill>
        </w:rPr>
      </w:pPr>
      <w:bookmarkStart w:id="700" w:name="_Toc2025"/>
      <w:bookmarkStart w:id="701" w:name="_Toc11768"/>
      <w:bookmarkStart w:id="702" w:name="_Toc24290"/>
      <w:bookmarkStart w:id="703" w:name="_Toc7130"/>
      <w:bookmarkStart w:id="704" w:name="_Toc21356"/>
      <w:bookmarkStart w:id="705" w:name="_Toc4721"/>
      <w:bookmarkStart w:id="706" w:name="_Toc4289"/>
      <w:bookmarkStart w:id="707" w:name="_Toc3034"/>
      <w:bookmarkStart w:id="708" w:name="_Toc26475"/>
      <w:bookmarkStart w:id="709" w:name="_Toc5814"/>
      <w:bookmarkStart w:id="710" w:name="_Toc21531"/>
      <w:bookmarkStart w:id="711" w:name="_Toc4924"/>
      <w:bookmarkStart w:id="712" w:name="_Toc32627"/>
      <w:bookmarkStart w:id="713" w:name="_Toc12687"/>
      <w:bookmarkStart w:id="714" w:name="_Toc24595"/>
      <w:bookmarkStart w:id="715" w:name="_Toc7472"/>
      <w:bookmarkStart w:id="716" w:name="_Toc16062"/>
      <w:bookmarkStart w:id="717" w:name="_Toc27681"/>
      <w:bookmarkStart w:id="718" w:name="_Toc18486"/>
      <w:r>
        <w:rPr>
          <w:rFonts w:hint="default" w:ascii="Times New Roman" w:hAnsi="Times New Roman" w:cs="Times New Roman"/>
          <w:color w:val="000000" w:themeColor="text1"/>
          <w:lang w:val="en-US" w:eastAsia="zh-CN"/>
          <w14:textFill>
            <w14:solidFill>
              <w14:schemeClr w14:val="tx1"/>
            </w14:solidFill>
          </w14:textFill>
        </w:rPr>
        <w:t>附录G 外业作业分类安全要求</w:t>
      </w:r>
      <w:bookmarkEnd w:id="700"/>
      <w:bookmarkEnd w:id="701"/>
      <w:bookmarkEnd w:id="702"/>
      <w:bookmarkEnd w:id="703"/>
      <w:bookmarkEnd w:id="704"/>
      <w:bookmarkEnd w:id="705"/>
    </w:p>
    <w:p>
      <w:pPr>
        <w:widowControl/>
        <w:spacing w:line="360" w:lineRule="auto"/>
        <w:ind w:firstLine="3373" w:firstLineChars="16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w:t>
      </w:r>
      <w:bookmarkEnd w:id="706"/>
      <w:bookmarkEnd w:id="707"/>
      <w:bookmarkEnd w:id="708"/>
      <w:bookmarkEnd w:id="709"/>
      <w:bookmarkEnd w:id="710"/>
      <w:bookmarkEnd w:id="711"/>
      <w:bookmarkEnd w:id="712"/>
      <w:bookmarkEnd w:id="713"/>
      <w:bookmarkEnd w:id="714"/>
      <w:bookmarkEnd w:id="715"/>
      <w:bookmarkEnd w:id="716"/>
      <w:bookmarkEnd w:id="717"/>
      <w:bookmarkEnd w:id="718"/>
      <w:r>
        <w:rPr>
          <w:rFonts w:hint="default" w:ascii="Times New Roman" w:hAnsi="Times New Roman" w:cs="Times New Roman"/>
          <w:b/>
          <w:bCs/>
          <w:color w:val="000000" w:themeColor="text1"/>
          <w:lang w:val="en-US" w:eastAsia="zh-CN"/>
          <w14:textFill>
            <w14:solidFill>
              <w14:schemeClr w14:val="tx1"/>
            </w14:solidFill>
          </w14:textFill>
        </w:rPr>
        <w:t>G</w:t>
      </w:r>
    </w:p>
    <w:p>
      <w:pPr>
        <w:spacing w:line="360" w:lineRule="auto"/>
        <w:ind w:firstLine="3373" w:firstLineChars="16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spacing w:line="360" w:lineRule="auto"/>
        <w:ind w:firstLine="2529" w:firstLineChars="1200"/>
        <w:jc w:val="both"/>
        <w:rPr>
          <w:rFonts w:hint="default" w:ascii="Times New Roman" w:hAnsi="Times New Roman" w:cs="Times New Roman"/>
          <w:b/>
          <w:bCs/>
          <w:color w:val="000000" w:themeColor="text1"/>
          <w:vertAlign w:val="baseline"/>
          <w:lang w:val="en-US" w:eastAsia="zh-CN"/>
          <w14:textFill>
            <w14:solidFill>
              <w14:schemeClr w14:val="tx1"/>
            </w14:solidFill>
          </w14:textFill>
        </w:rPr>
      </w:pPr>
      <w:bookmarkStart w:id="719" w:name="_Toc6581"/>
      <w:bookmarkStart w:id="720" w:name="_Toc13367"/>
      <w:bookmarkStart w:id="721" w:name="_Toc8582"/>
      <w:bookmarkStart w:id="722" w:name="_Toc3663"/>
      <w:bookmarkStart w:id="723" w:name="_Toc13822"/>
      <w:bookmarkStart w:id="724" w:name="_Toc6411"/>
      <w:r>
        <w:rPr>
          <w:rFonts w:hint="default" w:ascii="Times New Roman" w:hAnsi="Times New Roman" w:cs="Times New Roman"/>
          <w:b/>
          <w:bCs/>
          <w:color w:val="000000" w:themeColor="text1"/>
          <w:lang w:val="en-US" w:eastAsia="zh-CN"/>
          <w14:textFill>
            <w14:solidFill>
              <w14:schemeClr w14:val="tx1"/>
            </w14:solidFill>
          </w14:textFill>
        </w:rPr>
        <w:t>外业作业分类安全要求</w:t>
      </w:r>
      <w:bookmarkEnd w:id="719"/>
      <w:bookmarkEnd w:id="720"/>
      <w:bookmarkEnd w:id="721"/>
      <w:bookmarkEnd w:id="722"/>
      <w:bookmarkEnd w:id="723"/>
      <w:bookmarkEnd w:id="724"/>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2"/>
        <w:gridCol w:w="1679"/>
        <w:gridCol w:w="60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序号</w:t>
            </w:r>
          </w:p>
        </w:tc>
        <w:tc>
          <w:tcPr>
            <w:tcW w:w="1679"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外业作业环境</w:t>
            </w:r>
          </w:p>
          <w:p>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或技术名称</w:t>
            </w:r>
          </w:p>
        </w:tc>
        <w:tc>
          <w:tcPr>
            <w:tcW w:w="600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cs="Times New Roman"/>
                <w:b/>
                <w:bCs/>
                <w:color w:val="000000" w:themeColor="text1"/>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bidi="ar"/>
                <w14:textFill>
                  <w14:solidFill>
                    <w14:schemeClr w14:val="tx1"/>
                  </w14:solidFill>
                </w14:textFill>
              </w:rPr>
              <w:t>安全作业要求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城镇、农村地区</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穿戴安全警示反光衣，设置安全警示标志牌（墩），设置专职安全员，做好安全保护措施。迁站时，要按安全顺序撤除安全警示标志牌（墩），相关测绘仪器、设备设施应纵向担抬，防止横向碰撞意外事件发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农村地区作业应遵守当地习俗，测量中防止狗类动物袭击，被狗咬伤后应及时</w:t>
            </w:r>
            <w:r>
              <w:rPr>
                <w:rFonts w:hint="eastAsia" w:ascii="Times New Roman" w:hAnsi="Times New Roman" w:eastAsia="宋体" w:cs="Times New Roman"/>
                <w:color w:val="000000" w:themeColor="text1"/>
                <w:sz w:val="21"/>
                <w:szCs w:val="21"/>
                <w:lang w:val="en-US" w:eastAsia="zh-CN" w:bidi="ar"/>
                <w14:textFill>
                  <w14:solidFill>
                    <w14:schemeClr w14:val="tx1"/>
                  </w14:solidFill>
                </w14:textFill>
              </w:rPr>
              <w:t>接种</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疫苗。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2</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铁路、公路区域</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穿戴安全警示反光衣、绝缘鞋、手套，设置专职安全员，做好安全保护措施。道路作业设置明显安全警示标识。电气化铁路附近作业时，注意带电设备设施，禁止使用金属标尺、镜杆等，防止作业人员触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3</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滩涂地区</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做好绳索、木板及探测棒等的准备工作，经过滩涂地区时应以纵队形式通过，避免单人涉险，若遇繁茂绿草地带时应绕道而行。有作业人员陷入时，采取相应的救援或自救措施，应做到冷静有序展开救援，切忌慌乱施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4</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人烟稀少地区或草原、林区、山区</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携带手持导航定位仪器及地形图，聘用当地向导，识别可能存在风险，着装要扎紧领口、袖口、衣摆和裤脚，防止蛇虫等叮咬，配备防止蛇虫等叮咬的药品及面罩。在行进路线及点位附近，应留下本队明显标识。禁止夜间单人外出，特殊情况需要外出时，应两人以上同行，并报告自己外出事由、去向等，外出时应携带电源充足的照明和通信设备，确保通讯畅通，宿营地应设置灯火引导标志，做好宿营地安全防护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5</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地下管线</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地下管线及井口周边测量作业前，应核查管线资料、道路交通条件、井盖状态和周边环境，设置围挡、锥桶、警示灯等交通警示设施。确需开启井盖、靠近井口或者存在有毒有害气体风险的，应执行“先通风、再检测、后作业”，配备气体检测、通风、防坠落和应急救援装备，实行作业许可和专人监护；未确认安全条件前，人员不得进入井下或有限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6</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涉水作业</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作业前应探明水域深度、流速，水温及河床沙石等情况，并根据以上情况选择安全的涉水地点，做好安全防护，禁止独自一人涉水过河。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作业人员应穿救生衣（圈），水深在0.6米以内，流速不超过每秒3米，或者流速虽然较大但水深在0.4米以内的允许徒涉，超过以上的，应绕道寻找桥梁或渡口通行。对水流湍急的地段应采取相应的安全防护措施。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暴雨过后要特别注意山洪的到来，严禁在无安全防护的条件下和河流暴涨时涉水渡河。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7</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海域作业</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人员应穿救生衣，严禁单人外出下水作业。船上作业时，应选择相应的通信设备，服从船长的指挥，租用的船只必须满足安全性能要求，并具有经营许可证照，雇用的船工必须熟悉当地水性并有载客经验。风浪太大时段不能强行作业，应注意涨落潮时间，做好相应的安全措施，避免事故发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海上码头、港口作业时，应安排专人在船头进行安全监控，防止发生碰撞。应避免海上作业夜晚留宿，必须留宿时应选择附近港口内湾或浪小、水流稳定的区域抛锚，并在船体四周吊挂闪烁警示灯。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作业过程中有作业人员发生严重晕船反应且有可能影响人身安全时，应尽快安排其离船并到就近医院就医。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8</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隧道测量</w:t>
            </w:r>
          </w:p>
        </w:tc>
        <w:tc>
          <w:tcPr>
            <w:tcW w:w="6001" w:type="dxa"/>
            <w:vAlign w:val="center"/>
          </w:tcPr>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作业时应穿戴安全警示反光衣，应注意高处作业及临边作业安全，高处作业时应对操作人员进行安全技术交底，作业人员应做好安全防护，临边作业应注意周边环境安全及做好临边测量作业防护。</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w:t>
            </w:r>
            <w:r>
              <w:rPr>
                <w:rFonts w:hint="default" w:ascii="Times New Roman" w:hAnsi="Times New Roman" w:eastAsia="宋体" w:cs="Times New Roman"/>
                <w:color w:val="000000" w:themeColor="text1"/>
                <w:sz w:val="21"/>
                <w:szCs w:val="21"/>
                <w:shd w:val="clear"/>
                <w:lang w:val="en-US" w:eastAsia="zh-CN" w:bidi="ar"/>
                <w14:textFill>
                  <w14:solidFill>
                    <w14:schemeClr w14:val="tx1"/>
                  </w14:solidFill>
                </w14:textFill>
              </w:rPr>
              <w:t>人员进隧道之前必须要准备好强光探照灯等辅助工具</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shd w:val="clear"/>
                <w:lang w:val="en-US" w:eastAsia="zh-CN" w:bidi="ar"/>
                <w14:textFill>
                  <w14:solidFill>
                    <w14:schemeClr w14:val="tx1"/>
                  </w14:solidFill>
                </w14:textFill>
              </w:rPr>
              <w:t>布置导线时，最好布置在隧道的另一侧，导线点间距不要大于200米。放样控制点距开挖面距离</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应</w:t>
            </w:r>
            <w:r>
              <w:rPr>
                <w:rFonts w:hint="default" w:ascii="Times New Roman" w:hAnsi="Times New Roman" w:eastAsia="宋体" w:cs="Times New Roman"/>
                <w:color w:val="000000" w:themeColor="text1"/>
                <w:sz w:val="21"/>
                <w:szCs w:val="21"/>
                <w:shd w:val="clear"/>
                <w:lang w:val="en-US" w:eastAsia="zh-CN" w:bidi="ar"/>
                <w14:textFill>
                  <w14:solidFill>
                    <w14:schemeClr w14:val="tx1"/>
                  </w14:solidFill>
                </w14:textFill>
              </w:rPr>
              <w:t>不大于50米</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shd w:val="clear"/>
                <w:lang w:val="en-US" w:eastAsia="zh-CN" w:bidi="ar"/>
                <w14:textFill>
                  <w14:solidFill>
                    <w14:schemeClr w14:val="tx1"/>
                  </w14:solidFill>
                </w14:textFill>
              </w:rPr>
              <w:t>隧道开挖轮廓点放样中，应随时检查凸出部位的欠挖，并记录好，以免后期处理困难</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w:t>
            </w:r>
            <w:r>
              <w:rPr>
                <w:rFonts w:hint="default" w:ascii="Times New Roman" w:hAnsi="Times New Roman" w:eastAsia="宋体" w:cs="Times New Roman"/>
                <w:color w:val="000000" w:themeColor="text1"/>
                <w:sz w:val="21"/>
                <w:szCs w:val="21"/>
                <w:shd w:val="clear"/>
                <w:lang w:val="en-US" w:eastAsia="zh-CN" w:bidi="ar"/>
                <w14:textFill>
                  <w14:solidFill>
                    <w14:schemeClr w14:val="tx1"/>
                  </w14:solidFill>
                </w14:textFill>
              </w:rPr>
              <w:t>可用带激光的全站仪测定隧道开挖断面图，断面一般5到10米一条。</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进入隧道，应严格执行隧道进出洞登记制度，进行测量前，必须先对隧道周围进行环境安全观察，特别是隧道顶部有无危岩、突水、突泥等危险，在确保无危险的情况下，方能进行测量活动。</w:t>
            </w:r>
          </w:p>
          <w:p>
            <w:pPr>
              <w:keepNext w:val="0"/>
              <w:keepLines w:val="0"/>
              <w:pageBreakBefore w:val="0"/>
              <w:widowControl/>
              <w:suppressLineNumbers w:val="0"/>
              <w:shd w:val="clear"/>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隧道现场严禁明火、防静电，杜绝携带易燃易爆等危险品进入隧道；作业时注意避让运输车辆，如装载机、渣土车等；用电前应有专人检查设备设施是否可靠，临时电源导线不得有破损，接头必须用绝缘胶布或专用接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9</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其他区域（地铁作业、机场作业、文物测绘）</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作业前应提前提出申请，经相关方同意并安排好时间后方可进行。</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作业前应对所有人员、带入设备设施进行照相清点，并在作业点两头设置安全警示信号灯。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作业时应由相关方专人带领，做好相应的安全防护措施后，携带相关仪器进行测量作业。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禁止携带火种、大容量充电宝等进入作业现场，作业期间如需动火动电作业必须经过专业人员批准。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作业完成后，应检查核对所有带入物品完全带出，不能遗留任何物品在作业现场。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所有作业人员应固定，不得擅自更改，如需更改，应经相关方批准同意后方可进入作业现场。作业人员应严格按照测绘方案规定的线路（测点）进行作业，不得随意走动。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进入文物测绘现场作业时，应保障作业现场通风、检测有毒有害气体含量，防止气体中毒，需要接触文物时，应佩戴手套、口罩等防护装备。应注意观察工地有无地面塌陷及边壁坍塌等危险源，防止地面湿滑摔倒。</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所有作业人员应严格遵守相关方的安全管理要求。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10</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应急测绘</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应根据应急测绘的内容和要求，评估作业环境安全，避免作业人员进入危险区域。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作业前应根据作业环境的要求，穿戴好相关个体防护用品方可进行作业现场。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作业时应配合现场应急总指挥的统一协调调度，密切关注作业现场灾情发展态势，严防次生灾害对作业人员的人身伤害。</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作业时应安排1名现场灾情观察人员，注意周边环境灾情变化，发现突发状况时，及时通知作业人员，并及时撤离作业现场。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应急测绘用无人机等燃油设备进行燃油抽取、吸入过程中严禁吸烟、禁止明火。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11</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无人机测量</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购买作业人员人身意外伤害险、设备险、第三者责任险等，作业人员须持证上岗，完成实名登记，并通过“民用无人驾驶航空器综合管理平台（UOM）”查询适飞空域、核查管制空域和飞行活动申请要求；依法需要申请、报备或确认的，应按规定办理飞行活动申请、起飞前确认或动态信息报送。作业应按预定航线开展，并结合项目风险落实飞行轨迹追踪、通信链路保障和应急处置措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作业前，应做好气象条件收集；起飞前先检查无人机紧固设备附件，以防附件掉落伤人；无人机飞行时应确保人员远离螺旋桨，并检查遥控器状态，以防螺旋桨转动伤人。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无人机起降场应选择空旷且无风口处，保证起降场地远离居民区上空，远离高压线、雷达站、信号塔等强磁场源，以免无人机内部传感器受到影响，造成安全事故。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无人机电池充电时，作业人员不应长时间离开，禁止在人员睡眠期间进行充电。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12</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航空测量</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作业前应先取得测区相应空管单位的空域申请许可，并严格按照有关规定、方案执行作业任务。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患有心脏病、高血压、眩晕等航空测量禁忌症的人员严禁从事航空测量作业。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作业人员应按要求穿戴反光衣，并按指定的安全线路行走，注意车辆、飞行器等避让。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作业人员应听从驾驶员命令，系好安全带，不得在机舱内随意走动，不得乱按机舱按键。身体出现不适时，应及</w:t>
            </w:r>
            <w:r>
              <w:rPr>
                <w:rFonts w:hint="eastAsia" w:ascii="Times New Roman" w:hAnsi="Times New Roman" w:eastAsia="宋体" w:cs="Times New Roman"/>
                <w:color w:val="000000" w:themeColor="text1"/>
                <w:sz w:val="21"/>
                <w:szCs w:val="21"/>
                <w:lang w:val="en-US" w:eastAsia="zh-CN" w:bidi="ar"/>
                <w14:textFill>
                  <w14:solidFill>
                    <w14:schemeClr w14:val="tx1"/>
                  </w14:solidFill>
                </w14:textFill>
              </w:rPr>
              <w:t>时</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报告驾驶员，并停止作业。</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作业时应根据飞行任务高度估算高空温度和氧气含量，带足衣物和配备氧气。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13</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移动测量</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高速公路或高等级公路行驶作业过程中，应在交通工具上设置醒目的作业安全警示标志。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移动测量作业交通工具通过桥洞、隧道和其他限高等特殊区域时，应关注限高、限宽、限速、限载等限制性要求。</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作业时应定期检查并紧固各测量设备紧固件，防止设备滑落发生。</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通过减速带或不平坑洼地时，应减速慢行，注意作业人员和测量设备安全。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2" w:type="dxa"/>
            <w:vAlign w:val="center"/>
          </w:tcPr>
          <w:p>
            <w:pPr>
              <w:keepNext w:val="0"/>
              <w:keepLines w:val="0"/>
              <w:widowControl/>
              <w:suppressLineNumbers w:val="0"/>
              <w:spacing w:before="0" w:beforeAutospacing="0" w:after="0" w:afterAutospacing="0"/>
              <w:ind w:left="0" w:right="0" w:firstLine="0" w:firstLineChars="0"/>
              <w:jc w:val="center"/>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14</w:t>
            </w:r>
          </w:p>
        </w:tc>
        <w:tc>
          <w:tcPr>
            <w:tcW w:w="1679"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0" w:firstLineChars="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精密工程测量</w:t>
            </w:r>
          </w:p>
        </w:tc>
        <w:tc>
          <w:tcPr>
            <w:tcW w:w="60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作业人员进入作业现场前应在安全员引导下做好安全防护措施和环境卫生措施。</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严禁将镜头对准太阳或其强光源，严禁眼睛直视激光光源。</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b w:val="0"/>
                <w:bCs w:val="0"/>
                <w:color w:val="000000" w:themeColor="text1"/>
                <w:sz w:val="21"/>
                <w:szCs w:val="21"/>
                <w:vertAlign w:val="baseline"/>
                <w:lang w:val="en-US" w:eastAsia="zh-CN" w:bidi="ar"/>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大风及雨天时应停止作业。扬沙扬尘作业环境时，应做好测量设备和作业人员的安全防护措施。</w:t>
            </w:r>
          </w:p>
        </w:tc>
      </w:tr>
    </w:tbl>
    <w:p>
      <w:pPr>
        <w:spacing w:line="360" w:lineRule="auto"/>
        <w:ind w:firstLine="2529" w:firstLineChars="1200"/>
        <w:jc w:val="both"/>
        <w:rPr>
          <w:rFonts w:hint="default" w:ascii="Times New Roman" w:hAnsi="Times New Roman" w:cs="Times New Roman"/>
          <w:b/>
          <w:bCs/>
          <w:color w:val="000000" w:themeColor="text1"/>
          <w:lang w:val="en-US" w:eastAsia="zh-CN"/>
          <w14:textFill>
            <w14:solidFill>
              <w14:schemeClr w14:val="tx1"/>
            </w14:solidFill>
          </w14:textFill>
        </w:rPr>
      </w:pPr>
    </w:p>
    <w:p>
      <w:pPr>
        <w:widowControl/>
        <w:rPr>
          <w:rFonts w:hint="default" w:ascii="Times New Roman" w:hAnsi="Times New Roman" w:cs="Times New Roman"/>
          <w:color w:val="000000" w:themeColor="text1"/>
          <w:lang w:val="en-US" w:eastAsia="zh-CN"/>
          <w14:textFill>
            <w14:solidFill>
              <w14:schemeClr w14:val="tx1"/>
            </w14:solidFill>
          </w14:textFill>
        </w:rPr>
      </w:pPr>
      <w:bookmarkStart w:id="725" w:name="_Toc17610"/>
      <w:bookmarkStart w:id="726" w:name="_Toc30256"/>
      <w:bookmarkStart w:id="727" w:name="_Toc26719"/>
      <w:bookmarkStart w:id="728" w:name="_Toc14616"/>
      <w:bookmarkStart w:id="729" w:name="_Toc4925"/>
      <w:bookmarkStart w:id="730" w:name="_Toc29866"/>
      <w:bookmarkStart w:id="731" w:name="_Toc13320"/>
      <w:bookmarkStart w:id="732" w:name="_Toc1218"/>
      <w:bookmarkStart w:id="733" w:name="_Toc4077"/>
      <w:bookmarkStart w:id="734" w:name="_Toc28731"/>
      <w:bookmarkStart w:id="735" w:name="_Toc8508"/>
      <w:bookmarkStart w:id="736" w:name="_Toc31602"/>
      <w:bookmarkStart w:id="737" w:name="_Toc6231"/>
      <w:bookmarkStart w:id="738" w:name="_Toc24080"/>
      <w:bookmarkStart w:id="739" w:name="_Toc133074910"/>
      <w:bookmarkStart w:id="740" w:name="_Toc285"/>
      <w:bookmarkStart w:id="741" w:name="_Toc28291"/>
      <w:bookmarkStart w:id="742" w:name="_Toc13023"/>
      <w:bookmarkStart w:id="743" w:name="_Toc1307"/>
      <w:bookmarkStart w:id="744" w:name="_Toc27073"/>
      <w:bookmarkStart w:id="745" w:name="_Toc14219"/>
      <w:bookmarkStart w:id="746" w:name="_Toc20886"/>
      <w:bookmarkStart w:id="747" w:name="_Toc5380"/>
      <w:bookmarkStart w:id="748" w:name="_Toc30867"/>
      <w:r>
        <w:rPr>
          <w:rFonts w:hint="default" w:ascii="Times New Roman" w:hAnsi="Times New Roman" w:cs="Times New Roman"/>
          <w:color w:val="000000" w:themeColor="text1"/>
          <w:lang w:val="en-US" w:eastAsia="zh-CN"/>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bookmarkStart w:id="749" w:name="_Toc7358"/>
      <w:bookmarkStart w:id="750" w:name="_Toc661"/>
      <w:r>
        <w:rPr>
          <w:rFonts w:hint="default" w:ascii="Times New Roman" w:hAnsi="Times New Roman" w:cs="Times New Roman"/>
          <w:color w:val="000000" w:themeColor="text1"/>
          <w:lang w:val="en-US" w:eastAsia="zh-CN"/>
          <w14:textFill>
            <w14:solidFill>
              <w14:schemeClr w14:val="tx1"/>
            </w14:solidFill>
          </w14:textFill>
        </w:rPr>
        <w:t>附录H 项目安全生产备案表</w:t>
      </w:r>
      <w:bookmarkEnd w:id="725"/>
      <w:bookmarkEnd w:id="726"/>
      <w:bookmarkEnd w:id="727"/>
      <w:bookmarkEnd w:id="749"/>
      <w:bookmarkEnd w:id="750"/>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录H</w:t>
      </w:r>
    </w:p>
    <w:p>
      <w:pPr>
        <w:widowControl/>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spacing w:line="360" w:lineRule="auto"/>
        <w:ind w:firstLine="2108" w:firstLineChars="1000"/>
        <w:jc w:val="both"/>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项目安全生产备案表（开工单）</w:t>
      </w:r>
    </w:p>
    <w:p>
      <w:pPr>
        <w:spacing w:line="360" w:lineRule="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单位（部门）：                                             编号：</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4"/>
        <w:gridCol w:w="2552"/>
        <w:gridCol w:w="5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restart"/>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概况</w:t>
            </w: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项目名称</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作业区域</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项目起止时间</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项目内容及规模</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restart"/>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项目主要人员</w:t>
            </w: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项目负责人</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技术负责</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安全负责人</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作业人员</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restart"/>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项目安全管理情况</w:t>
            </w: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使用仪器型号及数量</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w:t>
            </w:r>
            <w:r>
              <w:rPr>
                <w:rFonts w:hint="default" w:ascii="Times New Roman" w:hAnsi="Times New Roman" w:eastAsia="宋体" w:cs="Times New Roman"/>
                <w:color w:val="000000" w:themeColor="text1"/>
                <w:sz w:val="21"/>
                <w:szCs w:val="21"/>
                <w14:textFill>
                  <w14:solidFill>
                    <w14:schemeClr w14:val="tx1"/>
                  </w14:solidFill>
                </w14:textFill>
              </w:rPr>
              <w:t>培训、安全技术交底</w:t>
            </w:r>
          </w:p>
        </w:tc>
        <w:tc>
          <w:tcPr>
            <w:tcW w:w="5040"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i/>
                <w:color w:val="000000" w:themeColor="text1"/>
                <w:sz w:val="21"/>
                <w:szCs w:val="21"/>
                <w14:textFill>
                  <w14:solidFill>
                    <w14:schemeClr w14:val="tx1"/>
                  </w14:solidFill>
                </w14:textFill>
              </w:rPr>
            </w:pPr>
            <w:r>
              <w:rPr>
                <w:rFonts w:hint="default" w:ascii="Times New Roman" w:hAnsi="Times New Roman" w:eastAsia="宋体" w:cs="Times New Roman"/>
                <w:i/>
                <w:color w:val="000000" w:themeColor="text1"/>
                <w:sz w:val="21"/>
                <w:szCs w:val="21"/>
                <w14:textFill>
                  <w14:solidFill>
                    <w14:schemeClr w14:val="tx1"/>
                  </w14:solidFill>
                </w14:textFill>
              </w:rPr>
              <w:t>见培训签到表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项目可能存在危险源清单</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采取安全措施</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704" w:type="dxa"/>
            <w:vMerge w:val="continue"/>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2552"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安全保障设备</w:t>
            </w:r>
          </w:p>
        </w:tc>
        <w:tc>
          <w:tcPr>
            <w:tcW w:w="5040"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i/>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5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安全部门审核意见</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325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主管领导审批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意见</w:t>
            </w:r>
          </w:p>
        </w:tc>
        <w:tc>
          <w:tcPr>
            <w:tcW w:w="5040" w:type="dxa"/>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bl>
    <w:p>
      <w:pPr>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p>
    <w:p>
      <w:pPr>
        <w:spacing w:line="360" w:lineRule="auto"/>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填表人：                                                     日期：</w:t>
      </w:r>
    </w:p>
    <w:p>
      <w:pPr>
        <w:widowControl/>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br w:type="page"/>
      </w:r>
    </w:p>
    <w:p>
      <w:pPr>
        <w:pStyle w:val="2"/>
        <w:rPr>
          <w:rFonts w:hint="default" w:ascii="Times New Roman" w:hAnsi="Times New Roman" w:cs="Times New Roman"/>
          <w:color w:val="000000" w:themeColor="text1"/>
          <w:lang w:val="en-US" w:eastAsia="zh-CN"/>
          <w14:textFill>
            <w14:solidFill>
              <w14:schemeClr w14:val="tx1"/>
            </w14:solidFill>
          </w14:textFill>
        </w:rPr>
      </w:pPr>
      <w:bookmarkStart w:id="751" w:name="_Toc27933"/>
      <w:bookmarkStart w:id="752" w:name="_Toc31820"/>
      <w:bookmarkStart w:id="753" w:name="_Toc25774"/>
      <w:bookmarkStart w:id="754" w:name="_Toc28063"/>
      <w:bookmarkStart w:id="755" w:name="_Toc16893"/>
      <w:r>
        <w:rPr>
          <w:rFonts w:hint="default" w:ascii="Times New Roman" w:hAnsi="Times New Roman" w:cs="Times New Roman"/>
          <w:color w:val="000000" w:themeColor="text1"/>
          <w:lang w:val="en-US" w:eastAsia="zh-CN"/>
          <w14:textFill>
            <w14:solidFill>
              <w14:schemeClr w14:val="tx1"/>
            </w14:solidFill>
          </w14:textFill>
        </w:rPr>
        <w:t>附录I</w:t>
      </w:r>
      <w:r>
        <w:rPr>
          <w:rFonts w:hint="eastAsia"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cs="Times New Roman"/>
          <w:color w:val="000000" w:themeColor="text1"/>
          <w:lang w:val="en-US" w:eastAsia="zh-CN"/>
          <w14:textFill>
            <w14:solidFill>
              <w14:schemeClr w14:val="tx1"/>
            </w14:solidFill>
          </w14:textFill>
        </w:rPr>
        <w:t>技术和安全交底清单</w:t>
      </w:r>
      <w:bookmarkEnd w:id="751"/>
      <w:bookmarkEnd w:id="752"/>
      <w:bookmarkEnd w:id="753"/>
      <w:bookmarkEnd w:id="754"/>
      <w:bookmarkEnd w:id="755"/>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录I</w:t>
      </w:r>
    </w:p>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spacing w:line="360" w:lineRule="auto"/>
        <w:ind w:firstLine="2740" w:firstLineChars="1300"/>
        <w:jc w:val="both"/>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技术和安全交底清单</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9"/>
        <w:gridCol w:w="67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1589" w:type="dxa"/>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项目名称</w:t>
            </w:r>
          </w:p>
        </w:tc>
        <w:tc>
          <w:tcPr>
            <w:tcW w:w="6707" w:type="dxa"/>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项目概况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对项目概况进行描述</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技术交底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对项目的技术要求进行明确，达到质量要求</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危险源清单及应对措施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对项目可能存在的危险源进行核查，并提出应对措施</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安全交底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对项目可能存在的安全要求开展培训指导</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环境交底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对项目工作环境情况进行交底</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14:textFill>
                  <w14:solidFill>
                    <w14:schemeClr w14:val="tx1"/>
                  </w14:solidFill>
                </w14:textFill>
              </w:rPr>
            </w:pPr>
            <w:r>
              <w:rPr>
                <w:rFonts w:hint="default" w:ascii="Times New Roman" w:hAnsi="Times New Roman" w:eastAsia="宋体" w:cs="Times New Roman"/>
                <w:b/>
                <w:color w:val="000000" w:themeColor="text1"/>
                <w:sz w:val="21"/>
                <w:szCs w:val="21"/>
                <w14:textFill>
                  <w14:solidFill>
                    <w14:schemeClr w14:val="tx1"/>
                  </w14:solidFill>
                </w14:textFill>
              </w:rPr>
              <w:t>其他要求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6" w:hRule="atLeast"/>
        </w:trPr>
        <w:tc>
          <w:tcPr>
            <w:tcW w:w="8296" w:type="dxa"/>
            <w:gridSpan w:val="2"/>
            <w:vAlign w:val="center"/>
          </w:tcPr>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对项目可能存在的其他要求进行明确</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p>
            <w:pPr>
              <w:keepNext w:val="0"/>
              <w:keepLines w:val="0"/>
              <w:suppressLineNumbers w:val="0"/>
              <w:spacing w:before="0" w:beforeAutospacing="0" w:after="0" w:afterAutospacing="0" w:line="360" w:lineRule="auto"/>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p>
        </w:tc>
      </w:tr>
    </w:tbl>
    <w:p>
      <w:pPr>
        <w:spacing w:line="360" w:lineRule="auto"/>
        <w:ind w:firstLine="420" w:firstLineChars="200"/>
        <w:rPr>
          <w:rFonts w:hint="default" w:ascii="Times New Roman" w:hAnsi="Times New Roman" w:cs="Times New Roman"/>
          <w:color w:val="000000" w:themeColor="text1"/>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Cs w:val="2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bookmarkStart w:id="756" w:name="_Toc28685"/>
      <w:bookmarkStart w:id="757" w:name="_Toc652"/>
      <w:bookmarkStart w:id="758" w:name="_Toc11610"/>
      <w:bookmarkStart w:id="759" w:name="_Toc464"/>
      <w:bookmarkStart w:id="760" w:name="_Toc9352"/>
      <w:r>
        <w:rPr>
          <w:rFonts w:hint="default" w:ascii="Times New Roman" w:hAnsi="Times New Roman" w:cs="Times New Roman"/>
          <w:color w:val="000000" w:themeColor="text1"/>
          <w:lang w:val="en-US" w:eastAsia="zh-CN"/>
          <w14:textFill>
            <w14:solidFill>
              <w14:schemeClr w14:val="tx1"/>
            </w14:solidFill>
          </w14:textFill>
        </w:rPr>
        <w:br w:type="page"/>
      </w:r>
    </w:p>
    <w:p>
      <w:pPr>
        <w:pStyle w:val="2"/>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t>附录J 安全风险管控参考做法</w:t>
      </w:r>
      <w:bookmarkEnd w:id="756"/>
      <w:bookmarkEnd w:id="757"/>
      <w:bookmarkEnd w:id="758"/>
      <w:bookmarkEnd w:id="759"/>
      <w:bookmarkEnd w:id="760"/>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 J</w:t>
      </w:r>
    </w:p>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ind w:firstLine="2529" w:firstLineChars="12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安全风险管控参考做法</w:t>
      </w:r>
    </w:p>
    <w:p>
      <w:pPr>
        <w:numPr>
          <w:ilvl w:val="0"/>
          <w:numId w:val="1"/>
        </w:numPr>
        <w:spacing w:line="360" w:lineRule="auto"/>
        <w:ind w:firstLine="560" w:firstLineChars="200"/>
        <w:rPr>
          <w:rFonts w:hint="default" w:ascii="Times New Roman" w:hAnsi="Times New Roman" w:cs="Times New Roman" w:eastAsiaTheme="minorEastAsia"/>
          <w:b/>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2576" behindDoc="0" locked="0" layoutInCell="1" allowOverlap="1">
                <wp:simplePos x="0" y="0"/>
                <wp:positionH relativeFrom="column">
                  <wp:posOffset>2100580</wp:posOffset>
                </wp:positionH>
                <wp:positionV relativeFrom="paragraph">
                  <wp:posOffset>351155</wp:posOffset>
                </wp:positionV>
                <wp:extent cx="1112520" cy="510540"/>
                <wp:effectExtent l="4445" t="4445" r="6985" b="18415"/>
                <wp:wrapNone/>
                <wp:docPr id="113" name="圆角矩形 113"/>
                <wp:cNvGraphicFramePr/>
                <a:graphic xmlns:a="http://schemas.openxmlformats.org/drawingml/2006/main">
                  <a:graphicData uri="http://schemas.microsoft.com/office/word/2010/wordprocessingShape">
                    <wps:wsp>
                      <wps:cNvSpPr/>
                      <wps:spPr>
                        <a:xfrm>
                          <a:off x="2626360" y="3193415"/>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成立安全风险评估小组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5.4pt;margin-top:27.65pt;height:40.2pt;width:87.6pt;z-index:251672576;v-text-anchor:middle;mso-width-relative:page;mso-height-relative:page;" filled="f" stroked="t" coordsize="21600,21600" arcsize="0.166666666666667" o:gfxdata="UEsFBgAAAAAAAAAAAAAAAAAAAAAAAFBLAwQKAAAAAACHTuJAAAAAAAAAAAAAAAAABAAAAGRycy9Q&#10;SwMEFAAAAAgAh07iQO2F8lvZAAAACgEAAA8AAABkcnMvZG93bnJldi54bWxNjzFPwzAQhXck/oN1&#10;SGzUTkMKDXEqqEBi6UChA5ubHEkgPkc5tw3/nmOC8XSf3vtesZp8r444chfIQjIzoJCqUHfUWHh7&#10;fbq6BcXRUe36QGjhGxlW5flZ4fI6nOgFj9vYKAkhzp2FNsYh15qrFr3jWRiQ5PcRRu+inGOj69Gd&#10;JNz3em7MQnvXkTS0bsB1i9XX9uAt7Obd/WOyXD58Tpvd8/DOfM1rtvbyIjF3oCJO8Q+GX31Rh1Kc&#10;9uFANaveQpoaUY8WsiwFJUBmFjJuL2Sa3YAuC/1/QvkDUEsDBBQAAAAIAIdO4kA/fsawoQIAABIF&#10;AAAOAAAAZHJzL2Uyb0RvYy54bWytVM1u1DAQviPxDpbvND+72barZtGqSxFSoRUFcfY6zsaS/7Cd&#10;zZYH4AE4IyFxQTwEj1PBYzC20x8Khx64JGPPl29mvpnJ0dOdFGjLrONa1bjYyzFiiuqGq02N3745&#10;eXKAkfNENURoxWp8yRx+unj86Ggwc1bqTouGWQQkys0HU+POezPPMkc7Jonb04YpcLbaSuLhaDdZ&#10;Y8kA7FJkZZ7PskHbxlhNmXNwu0pOPDLahxDqtuWUrTTtJVM+sVomiIeSXMeNw4uYbdsy6s/a1jGP&#10;RI2hUh+fEATsdXhmiyMy31hiOk7HFMhDUrhXkyRcQdAbqhXxBPWW/0UlObXa6dbvUS2zVEhUBKoo&#10;8nvaXHTEsFgLSO3Mjeju/9HSV9tzi3gDk1BMMFJEQsuvPn/89e3Tzy/fr358ReEeVBqMmwP4wpzb&#10;8eTADCXvWivDG4pBuxqXs3I2mYG+lzWeFIeTaVElldnOIwqAoijKqgQABURV5NU0tiG7ZTLW+edM&#10;SxSMGlvdq+Y1tDIqTLanzkMKgL/GhehKn3AhYjuFQkOIvV9BDAIj2sJogCkNlOnUBiMiNjD71NvI&#10;6LTgTfg68Di7WR8Li7YEJqZ8Vk2XRQSJXr7UTbrer/L8OucRH/P5gygktyKuS59EV9JBcg8LJLis&#10;8QHw3DAJBSRB5iRssPxuvRvVXuvmEjpldRphZ+gJhwinxPlzYmFmQVDYan8Gj1ZoEECPFkadth/+&#10;dR/wMErgxWiAHQB13vfEMozECwVDdlhMoTfIx8O02g9Ns3c967se1ctjDaIV8P8wNJoB78W12Vot&#10;38HyL0NUcBFFIXbqw3g49mk34fdB2XIZYbAohvhTdWFoIE/NXvZetzzOQRAqqTPqB6sS2zGuddjF&#10;u+eIuv2VLX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KQUAAFtDb250ZW50X1R5cGVzXS54bWxQSwECFAAKAAAAAACHTuJAAAAAAAAAAAAAAAAA&#10;BgAAAAAAAAAAABAAAAALBAAAX3JlbHMvUEsBAhQAFAAAAAgAh07iQIoUZjzRAAAAlAEAAAsAAAAA&#10;AAAAAQAgAAAALwQAAF9yZWxzLy5yZWxzUEsBAhQACgAAAAAAh07iQAAAAAAAAAAAAAAAAAQAAAAA&#10;AAAAAAAQAAAAFgAAAGRycy9QSwECFAAUAAAACACHTuJA7YXyW9kAAAAKAQAADwAAAAAAAAABACAA&#10;AAA4AAAAZHJzL2Rvd25yZXYueG1sUEsBAhQAFAAAAAgAh07iQD9+xrChAgAAEgUAAA4AAAAAAAAA&#10;AQAgAAAAPgEAAGRycy9lMm9Eb2MueG1sUEsFBgAAAAAGAAYAWQEAAFEGA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成立安全风险评估小组</w:t>
                      </w:r>
                    </w:p>
                  </w:txbxContent>
                </v:textbox>
              </v:roundrect>
            </w:pict>
          </mc:Fallback>
        </mc:AlternateContent>
      </w:r>
      <w:r>
        <w:rPr>
          <w:rFonts w:hint="default" w:ascii="Times New Roman" w:hAnsi="Times New Roman" w:cs="Times New Roman" w:eastAsiaTheme="minorEastAsia"/>
          <w:b/>
          <w:color w:val="000000" w:themeColor="text1"/>
          <w:sz w:val="28"/>
          <w:szCs w:val="28"/>
          <w:lang w:val="en-US" w:eastAsia="zh-CN"/>
          <w14:textFill>
            <w14:solidFill>
              <w14:schemeClr w14:val="tx1"/>
            </w14:solidFill>
          </w14:textFill>
        </w:rPr>
        <w:t>安全风险辨识、分析、评估开展流程</w:t>
      </w:r>
    </w:p>
    <w:p>
      <w:p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3600" behindDoc="0" locked="0" layoutInCell="1" allowOverlap="1">
                <wp:simplePos x="0" y="0"/>
                <wp:positionH relativeFrom="column">
                  <wp:posOffset>2447290</wp:posOffset>
                </wp:positionH>
                <wp:positionV relativeFrom="paragraph">
                  <wp:posOffset>92075</wp:posOffset>
                </wp:positionV>
                <wp:extent cx="441960" cy="281940"/>
                <wp:effectExtent l="21590" t="6350" r="31750" b="16510"/>
                <wp:wrapNone/>
                <wp:docPr id="114" name="下箭头 114"/>
                <wp:cNvGraphicFramePr/>
                <a:graphic xmlns:a="http://schemas.openxmlformats.org/drawingml/2006/main">
                  <a:graphicData uri="http://schemas.microsoft.com/office/word/2010/wordprocessingShape">
                    <wps:wsp>
                      <wps:cNvSpPr/>
                      <wps:spPr>
                        <a:xfrm>
                          <a:off x="3826510" y="3734435"/>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7.25pt;height:22.2pt;width:34.8pt;z-index:251673600;v-text-anchor:middle;mso-width-relative:page;mso-height-relative:page;" fillcolor="#4874CB [3204]" filled="t" stroked="t" coordsize="21600,21600" o:gfxdata="UEsFBgAAAAAAAAAAAAAAAAAAAAAAAFBLAwQKAAAAAACHTuJAAAAAAAAAAAAAAAAABAAAAGRycy9Q&#10;SwMEFAAAAAgAh07iQNhOTljXAAAACQEAAA8AAABkcnMvZG93bnJldi54bWxNj8tOwzAQRfdI/IM1&#10;SOyoU4hpGuJUAqnQbQOLsnPiIYnqRxQ7Sfl7hhUsR/fozrnF7mINm3EMvXcS1qsEGLrG6961Ej7e&#10;93cZsBCV08p4hxK+McCuvL4qVK794o44V7FlVOJCriR0MQ4556Hp0Kqw8gM6yr78aFWkc2y5HtVC&#10;5dbw+yR55Fb1jj50asCXDptzNVkJJx2P5+3rfKimt2XzrM2h3n+mUt7erJMnYBEv8Q+GX31Sh5Kc&#10;aj85HZiR8JCJlFAKUgGMgFQIGldLENkWeFnw/wvKH1BLAwQUAAAACACHTuJAVgA3C54CAAAtBQAA&#10;DgAAAGRycy9lMm9Eb2MueG1srVTBbhMxEL0j8Q+W73Sz6aZJo26qkFCEVGilgjg7Xm/Wku0xtpNN&#10;+QV+gyucOPBBIH6DsXfbpi2HHrjsznjGb2bezPjkdKcV2QrnJZiS5gcDSoThUEmzLumH92cvJpT4&#10;wEzFFBhR0mvh6ens+bOT1k7FEBpQlXAEQYyftrakTQh2mmWeN0IzfwBWGDTW4DQLqLp1VjnWIrpW&#10;2XAwOMpacJV1wIX3eLrsjLRHdE8BhLqWXCyBb7QwoUN1QrGAJflGWk9nKdu6Fjxc1LUXgaiSYqUh&#10;fTEIyqv4zWYnbLp2zDaS9ymwp6TwoCbNpMGgt1BLFhjZOPkISkvuwEMdDjjorCskMYJV5IMH3Fw1&#10;zIpUC1Lt7S3p/v/B8nfbS0dkhZOQF5QYprHlv35++fP92++vP0g8RIpa66foeWUvXa95FGO9u9rp&#10;+MdKyK6kh5Ph0ShHcq9RHh8WxeGoo1jsAuHoUBT58RHaOToMJ/lxkVqQ3QFZ58NrAZpEoaQVtGbu&#10;HLSJXbY99wEzQP8bvxjcg5LVmVQqKW69WihHtgxbXkzGxeJlTAGv3HNThrRY9HA8iNkwHOQaBwhF&#10;bZEMb9aUMLXGDeHBpdj3bvv9IMNXo2KeJye10W+h6mKPRwPE7kN3/o/TiGUsmW+6KylGR5iWAddM&#10;SV3SCeLcIimDILEfXQeitILqGpvooJtub/mZRNhz5sMlczjOWCEufLjAT60Ay4ZeoqQB9/lf59Ef&#10;pwytlLS4HkjJpw1zghL1xuD8HecFto6EpBSj8RAVt29Z7VvMRi8A25Hj02J5EqN/UDdi7UB/xHdh&#10;HqOiiRmOsTvye2URurXFl4WL+Ty54Q5ZFs7NleURPLbfwHwToJZpTO7Y6UnDLUo96Dc+rum+nrzu&#10;XrnZX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CQFAABbQ29udGVudF9UeXBlc10ueG1sUEsBAhQACgAAAAAAh07iQAAAAAAAAAAAAAAAAAYAAAAA&#10;AAAAAAAQAAAABgQAAF9yZWxzL1BLAQIUABQAAAAIAIdO4kCKFGY80QAAAJQBAAALAAAAAAAAAAEA&#10;IAAAACoEAABfcmVscy8ucmVsc1BLAQIUAAoAAAAAAIdO4kAAAAAAAAAAAAAAAAAEAAAAAAAAAAAA&#10;EAAAABYAAABkcnMvUEsBAhQAFAAAAAgAh07iQNhOTljXAAAACQEAAA8AAAAAAAAAAQAgAAAAOAAA&#10;AGRycy9kb3ducmV2LnhtbFBLAQIUABQAAAAIAIdO4kBWADcLngIAAC0FAAAOAAAAAAAAAAEAIAAA&#10;ADwBAABkcnMvZTJvRG9jLnhtbFBLBQYAAAAABgAGAFkBAABMBg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4624" behindDoc="0" locked="0" layoutInCell="1" allowOverlap="1">
                <wp:simplePos x="0" y="0"/>
                <wp:positionH relativeFrom="column">
                  <wp:posOffset>2108200</wp:posOffset>
                </wp:positionH>
                <wp:positionV relativeFrom="paragraph">
                  <wp:posOffset>15875</wp:posOffset>
                </wp:positionV>
                <wp:extent cx="1112520" cy="510540"/>
                <wp:effectExtent l="6350" t="6350" r="24130" b="16510"/>
                <wp:wrapNone/>
                <wp:docPr id="115" name="圆角矩形 115"/>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确定评估范围与目标</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pt;margin-top:1.25pt;height:40.2pt;width:87.6pt;z-index:251674624;v-text-anchor:middle;mso-width-relative:page;mso-height-relative:page;" filled="f" stroked="t" coordsize="21600,21600" arcsize="0.166666666666667" o:gfxdata="UEsFBgAAAAAAAAAAAAAAAAAAAAAAAFBLAwQKAAAAAACHTuJAAAAAAAAAAAAAAAAABAAAAGRycy9Q&#10;SwMEFAAAAAgAh07iQGVW/L7XAAAACAEAAA8AAABkcnMvZG93bnJldi54bWxNjzFPwzAUhHck/oP1&#10;KrFRO6laShqnQyUGJtQCEuNr/Eiixs+p7Tbpv8dMMJ7udPdduZ1sL67kQ+dYQzZXIIhrZzpuNHy8&#10;vzyuQYSIbLB3TBpuFGBb3d+VWBg38p6uh9iIVMKhQA1tjEMhZahbshjmbiBO3rfzFmOSvpHG45jK&#10;bS9zpVbSYsdpocWBdi3Vp8PFaviS4fwZx7f9ObudXtVuQuVppfXDLFMbEJGm+BeGX/yEDlViOroL&#10;myB6DYtFnr5EDfkSRPKX6ikHcdSwzp9BVqX8f6D6AVBLAwQUAAAACACHTuJAkyQCHZQCAAAHBQAA&#10;DgAAAGRycy9lMm9Eb2MueG1srVTNbhMxEL4j8Q6W73SzUUJL1KSKGoqQCq0oiLPj9WYt+Q/byaY8&#10;AA/QMxISF8RD8DgVPAafvdu0FA49cNkde8bfeL75xodHW63IRvggrZnScm9AiTDcVtKspvTd25Mn&#10;B5SEyEzFlDViSi9FoEezx48OWzcRQ9tYVQlPAGLCpHVT2sToJkUReCM0C3vWCQNnbb1mEUu/KirP&#10;WqBrVQwHg6dFa33lvOUiBOwuOiftEf1DAG1dSy4Wlq+1MLFD9UKxiJJCI12gs3zbuhY8ntV1EJGo&#10;KUWlMX+RBPYyfYvZIZusPHON5P0V2EOucK8mzaRB0h3UgkVG1l7+BaUl9zbYOu5xq4uukMwIqigH&#10;97i5aJgTuRZQHdyO9PD/YPnrzbknsoISyjElhmm0/Przp1/frn5++X794ytJ+2CpdWGC4At37vtV&#10;gJlK3tZepz+KIdvM7OWOWbGNhGOzLMvheAjSOXzjcjAeZeqL29POh/hCWE2SMaXerk31Bu3LrLLN&#10;aYhIi/ibuJTR2BOpVG6hMqRFmuH+ICVh0GUNPcDUDrUFs6KEqRUEz6PPkMEqWaXjCSj41fJYebJh&#10;kMnw+Xg0L3OQWutXtuq298cDYHeX6OPzhf4ASrdbsNB0R7Krk5iWEVOjpJ7SA+DskJQBSOK2YzNZ&#10;cbvc9hQvbXWJ9njb6TY4fiKR4ZSFeM48hIpiMcrxDJ9aWTBge4uSxvqP/9pP8dAPvJS0ED7Y+bBm&#10;XlCiXhoo61k5QnNIzIvReD91zd/1LO96zFofW5BW4tFwPJspPqobs/ZWv8fEz1NWuJjhyN31oV8c&#10;x24g8WZwMZ/nMEyHY/HUXDiewLtuz9fR1jILIRHVsdPzh/nI7ehnOQ3g3XWOun2/Z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ZVb8vtcAAAAIAQAADwAAAAAAAAABACAAAAA4AAAAZHJzL2Rvd25y&#10;ZXYueG1sUEsBAhQAFAAAAAgAh07iQJMkAh2UAgAABwUAAA4AAAAAAAAAAQAgAAAAPAEAAGRycy9l&#10;Mm9Eb2MueG1sUEsFBgAAAAAGAAYAWQEAAEIGA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确定评估范围与目标</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5648" behindDoc="0" locked="0" layoutInCell="1" allowOverlap="1">
                <wp:simplePos x="0" y="0"/>
                <wp:positionH relativeFrom="column">
                  <wp:posOffset>2447290</wp:posOffset>
                </wp:positionH>
                <wp:positionV relativeFrom="paragraph">
                  <wp:posOffset>137795</wp:posOffset>
                </wp:positionV>
                <wp:extent cx="441960" cy="281940"/>
                <wp:effectExtent l="21590" t="6350" r="31750" b="16510"/>
                <wp:wrapNone/>
                <wp:docPr id="116" name="下箭头 116"/>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10.85pt;height:22.2pt;width:34.8pt;z-index:251675648;v-text-anchor:middle;mso-width-relative:page;mso-height-relative:page;" fillcolor="#4874CB [3204]" filled="t" stroked="t" coordsize="21600,21600" o:gfxdata="UEsFBgAAAAAAAAAAAAAAAAAAAAAAAFBLAwQKAAAAAACHTuJAAAAAAAAAAAAAAAAABAAAAGRycy9Q&#10;SwMEFAAAAAgAh07iQHV00mHYAAAACQEAAA8AAABkcnMvZG93bnJldi54bWxNj01Pg0AURfcm/ofJ&#10;M3FnByrQijyaaFLttuii3Q3MCKTzQZgB6r/3udLlyzu599xidzWazWr0vbMI8SoCpmzjZG9bhM+P&#10;/cMWmA/CSqGdVQjfysOuvL0pRC7dYo9qrkLLKMT6XCB0IQw5577plBF+5QZl6fflRiMCnWPL5SgW&#10;Cjear6Mo40b0lho6MajXTjWXajIIJxmOl6e3+VBN78vmRepDvT8niPd3cfQMLKhr+IPhV5/UoSSn&#10;2k1WeqYRHrdpQijCOt4AIyBJUxpXI2RZDLws+P8F5Q9QSwMEFAAAAAgAh07iQAnDT1+SAgAAIQUA&#10;AA4AAABkcnMvZTJvRG9jLnhtbK1UzW4TMRC+I/EOlu90s9G2+VE3VUgoQiq0UkGcHa83a8n2GNvJ&#10;prwCr8EVThx4IBCvwdi7TdOWQw9cdmc8429mvpnx6dlOK7IVzkswJc2PBpQIw6GSZl3SD+/PX4wp&#10;8YGZiikwoqQ3wtOz2fNnp62diiE0oCrhCIIYP21tSZsQ7DTLPG+EZv4IrDBorMFpFlB166xyrEV0&#10;rbLhYHCSteAq64AL7/F02Rlpj+ieAgh1LblYAt9oYUKH6oRiAUvyjbSezlK2dS14uKxrLwJRJcVK&#10;Q/piEJRX8ZvNTtl07ZhtJO9TYE9J4UFNmkmDQfdQSxYY2Tj5CEpL7sBDHY446KwrJDGCVeSDB9xc&#10;N8yKVAtS7e2edP//YPm77ZUjssJJyE8oMUxjy3/9/PLn+7ffX3+QeIgUtdZP0fPaXrle8yjGene1&#10;0/GPlZBdovVmT6vYBcLxsCjyyQkSztE0HOeTItGe3V22zofXAjSJQkkraM3cOWgTo2x74QNGRf9b&#10;vxjQg5LVuVQqKW69WihHtgzbXIxHxeJlTBuv3HNThrRY6HA0iNkwHN4ahwZFbZEAb9aUMLXGreDB&#10;pdj3bvvDIMNXx8U8T05qo99C1cUeHQ8Quw/d+T9OI5axZL7prqQY8QqbahlwtZTUJR0jzh5JGQSJ&#10;PehYj9IKqhtsnINuor3l5xJhL5gPV8zhCGOFuOThEj+1AiwbeomSBtznf51Hf5wstFLS4kogJZ82&#10;zAlK1BuDMzfJC2wdCUkpjkdDVNyhZXVoMRu9AGxHjs+J5UmM/kHdirUD/RHfgnmMiiZmOMbuyO+V&#10;RehWFV8TLubz5IZ7Y1m4MNeWR/DIm4H5JkAt05jcsdOThpuTetBveVzNQz153b1ss7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B1dNJh2AAAAAkBAAAPAAAAAAAAAAEAIAAAADgAAABkcnMvZG93bnJl&#10;di54bWxQSwECFAAUAAAACACHTuJACcNPX5ICAAAhBQAADgAAAAAAAAABACAAAAA9AQAAZHJzL2Uy&#10;b0RvYy54bWxQSwUGAAAAAAYABgBZAQAAQQY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6672" behindDoc="0" locked="0" layoutInCell="1" allowOverlap="1">
                <wp:simplePos x="0" y="0"/>
                <wp:positionH relativeFrom="column">
                  <wp:posOffset>2100580</wp:posOffset>
                </wp:positionH>
                <wp:positionV relativeFrom="paragraph">
                  <wp:posOffset>23495</wp:posOffset>
                </wp:positionV>
                <wp:extent cx="1112520" cy="510540"/>
                <wp:effectExtent l="6350" t="6350" r="24130" b="16510"/>
                <wp:wrapNone/>
                <wp:docPr id="117" name="圆角矩形 117"/>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选择评估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方法</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5.4pt;margin-top:1.85pt;height:40.2pt;width:87.6pt;z-index:251676672;v-text-anchor:middle;mso-width-relative:page;mso-height-relative:page;" filled="f" stroked="t" coordsize="21600,21600" arcsize="0.166666666666667" o:gfxdata="UEsFBgAAAAAAAAAAAAAAAAAAAAAAAFBLAwQKAAAAAACHTuJAAAAAAAAAAAAAAAAABAAAAGRycy9Q&#10;SwMEFAAAAAgAh07iQAFo75/WAAAACAEAAA8AAABkcnMvZG93bnJldi54bWxNj8FOwzAQRO9I/IO1&#10;SNyoHQqhCnF6qMSBE2oBieM2XpKo8TqN3Sb9e5YT3GY1q5k35Xr2vTrTGLvAFrKFAUVcB9dxY+Hj&#10;/eVuBSomZId9YLJwoQjr6vqqxMKFibd03qVGSQjHAi20KQ2F1rFuyWNchIFYvO8wekxyjo12I04S&#10;7nt9b0yuPXYsDS0OtGmpPuxO3sKXjsfPNL1tj9nl8Go2M5qRcmtvbzLzDCrRnP6e4Rdf0KESpn04&#10;sYuqt7BcGkFPIp5Aif9octm2t7B6yEBXpf4/oPoBUEsDBBQAAAAIAIdO4kB0jMdylAIAAAcFAAAO&#10;AAAAZHJzL2Uyb0RvYy54bWytVM1uEzEQviPxDpbvdLNRQkrUpIoaipAKrSiIs+P1Zi35D9vJpjwA&#10;D8AZCYkL4iF4nAoeg8/ebVp+Dj1w2R17xt94vvnGR8c7rchW+CCtmdHyYECJMNxW0qxn9M3r00eH&#10;lITITMWUNWJGr0Sgx/OHD45aNxVD21hVCU8AYsK0dTPaxOimRRF4IzQLB9YJA2dtvWYRS78uKs9a&#10;oGtVDAeDx0VrfeW85SIE7C47J+0R/X0AbV1LLpaWb7QwsUP1QrGIkkIjXaDzfNu6Fjye13UQkagZ&#10;RaUxf5EE9ip9i/kRm649c43k/RXYfa7wR02aSYOke6gli4xsvPwLSkvubbB1POBWF10hmRFUUQ7+&#10;4OayYU7kWkB1cHvSw/+D5S+3F57ICkooJ5QYptHy608ffn79+OPzt+vvX0jaB0utC1MEX7oL368C&#10;zFTyrvY6/VEM2WVmr/bMil0kHJtlWQ7HQ5DO4RuXg/EoU1/cnnY+xGfCapKMGfV2Y6pXaF9mlW3P&#10;QkRaxN/EpYzGnkqlcguVIS3SDCeDlIRBlzX0AFM71BbMmhKm1hA8jz5DBqtklY4noODXqxPlyZZB&#10;JsOn49GizEFqo1/YqtuejAfA7i7Rx+cL/QaUbrdkoemOZFcnMS0jpkZJPaOHwNkjKQOQxG3HZrLi&#10;brXrKV7Z6grt8bbTbXD8VCLDGQvxgnkIFcVilOM5PrWyYMD2FiWN9e//tZ/ioR94KWkhfLDzbsO8&#10;oEQ9N1DWk3KE5pCYF6PxJHXN3/Ws7nrMRp9YkFbi0XA8myk+qhuz9la/xcQvUla4mOHI3fWhX5zE&#10;biDxZnCxWOQwTIdj8cxcOp7Au24vNtHWMgshEdWx0/OH+cjt6Gc5DeDddY66fb/m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BaO+f1gAAAAgBAAAPAAAAAAAAAAEAIAAAADgAAABkcnMvZG93bnJl&#10;di54bWxQSwECFAAUAAAACACHTuJAdIzHcpQCAAAHBQAADgAAAAAAAAABACAAAAA7AQAAZHJzL2Uy&#10;b0RvYy54bWxQSwUGAAAAAAYABgBZAQAAQQY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选择评估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方法</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7696" behindDoc="0" locked="0" layoutInCell="1" allowOverlap="1">
                <wp:simplePos x="0" y="0"/>
                <wp:positionH relativeFrom="column">
                  <wp:posOffset>2447290</wp:posOffset>
                </wp:positionH>
                <wp:positionV relativeFrom="paragraph">
                  <wp:posOffset>137795</wp:posOffset>
                </wp:positionV>
                <wp:extent cx="441960" cy="281940"/>
                <wp:effectExtent l="21590" t="6350" r="31750" b="16510"/>
                <wp:wrapNone/>
                <wp:docPr id="118" name="下箭头 118"/>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10.85pt;height:22.2pt;width:34.8pt;z-index:251677696;v-text-anchor:middle;mso-width-relative:page;mso-height-relative:page;" fillcolor="#4874CB [3204]" filled="t" stroked="t" coordsize="21600,21600" o:gfxdata="UEsFBgAAAAAAAAAAAAAAAAAAAAAAAFBLAwQKAAAAAACHTuJAAAAAAAAAAAAAAAAABAAAAGRycy9Q&#10;SwMEFAAAAAgAh07iQHV00mHYAAAACQEAAA8AAABkcnMvZG93bnJldi54bWxNj01Pg0AURfcm/ofJ&#10;M3FnByrQijyaaFLttuii3Q3MCKTzQZgB6r/3udLlyzu599xidzWazWr0vbMI8SoCpmzjZG9bhM+P&#10;/cMWmA/CSqGdVQjfysOuvL0pRC7dYo9qrkLLKMT6XCB0IQw5577plBF+5QZl6fflRiMCnWPL5SgW&#10;Cjear6Mo40b0lho6MajXTjWXajIIJxmOl6e3+VBN78vmRepDvT8niPd3cfQMLKhr+IPhV5/UoSSn&#10;2k1WeqYRHrdpQijCOt4AIyBJUxpXI2RZDLws+P8F5Q9QSwMEFAAAAAgAh07iQNyiEfqSAgAAIQUA&#10;AA4AAABkcnMvZTJvRG9jLnhtbK1UzW4TMRC+I/EOlu90s9G2aaMmVUgoQiq0UkGcHa83u5L/sJ1s&#10;yivwGlzhxIEHAvEafPZu07Tl0AOX3RnP+JuZb2Z8erZVkmyE843RE5ofDCgRmpuy0asJ/fD+/MUx&#10;JT4wXTJptJjQG+Hp2fT5s9PWjsXQ1EaWwhGAaD9u7YTWIdhxlnleC8X8gbFCw1gZp1iA6lZZ6VgL&#10;dCWz4WBwlLXGldYZLrzH6aIz0h7RPQXQVFXDxcLwtRI6dKhOSBZQkq8b6+k0ZVtVgofLqvIiEDmh&#10;qDSkL4JAXsZvNj1l45Vjtm54nwJ7SgoPalKs0Qi6g1qwwMjaNY+gVMOd8aYKB9yorCskMYIq8sED&#10;bq5rZkWqBVR7uyPd/z9Y/m5z5UhTYhJyNF4zhZb/+vnlz/dvv7/+IPEQFLXWj+F5ba9cr3mIsd5t&#10;5VT8oxKyTbTe7GgV20A4DosiPzkC4Rym4XF+UiTas7vL1vnwWhhFojChpWn1zDnTJkbZ5sIHRIX/&#10;rV8M6I1syvNGyqS41XIuHdkwtLk4HhXzlzFtXLnnJjVpUehwNIjZMAxvhaGBqCwI8HpFCZMrbAUP&#10;LsW+d9vvBxm+OixmeXKSa/XWlF3s0eEA2H3ozv9xGrGMBfN1dyXFiFfYWDUBqyUbNaHHwNkhSQ2Q&#10;2IOO9SgtTXmDxjnTTbS3/LwB7AXz4Yo5jDAqxJKHS3wqaVC26SVKauM+/+s8+mOyYKWkxUqAkk9r&#10;5gQl8o3GzJ3kBVpHQlKKw9EQitu3LPcteq3mBu3I8ZxYnsToH+StWDmjPuItmMWoMDHNEbsjv1fm&#10;oVtVvCZczGbJDXtjWbjQ15ZH8MibNrN1MFWTxuSOnZ40bE7qQb/lcTX39eR197JN/w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B1dNJh2AAAAAkBAAAPAAAAAAAAAAEAIAAAADgAAABkcnMvZG93bnJl&#10;di54bWxQSwECFAAUAAAACACHTuJA3KIR+pICAAAhBQAADgAAAAAAAAABACAAAAA9AQAAZHJzL2Uy&#10;b0RvYy54bWxQSwUGAAAAAAYABgBZAQAAQQY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8720" behindDoc="0" locked="0" layoutInCell="1" allowOverlap="1">
                <wp:simplePos x="0" y="0"/>
                <wp:positionH relativeFrom="column">
                  <wp:posOffset>2092960</wp:posOffset>
                </wp:positionH>
                <wp:positionV relativeFrom="paragraph">
                  <wp:posOffset>61595</wp:posOffset>
                </wp:positionV>
                <wp:extent cx="1112520" cy="510540"/>
                <wp:effectExtent l="6350" t="6350" r="24130" b="16510"/>
                <wp:wrapNone/>
                <wp:docPr id="119" name="圆角矩形 119"/>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划分评估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单元</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8pt;margin-top:4.85pt;height:40.2pt;width:87.6pt;z-index:251678720;v-text-anchor:middle;mso-width-relative:page;mso-height-relative:page;" filled="f" stroked="t" coordsize="21600,21600" arcsize="0.166666666666667" o:gfxdata="UEsFBgAAAAAAAAAAAAAAAAAAAAAAAFBLAwQKAAAAAACHTuJAAAAAAAAAAAAAAAAABAAAAGRycy9Q&#10;SwMEFAAAAAgAh07iQEjxnZbWAAAACAEAAA8AAABkcnMvZG93bnJldi54bWxNjzFPwzAUhHck/oP1&#10;kNionQKhDXE6VGJgQm1BYnTj1yRq/JzabpP+ex4TjKc73X1XribXiwuG2HnSkM0UCKTa244aDZ+7&#10;t4cFiJgMWdN7Qg1XjLCqbm9KU1g/0gYv29QILqFYGA1tSkMhZaxbdCbO/IDE3sEHZxLL0EgbzMjl&#10;rpdzpXLpTEe80JoB1y3Wx+3ZafiW8fSVxo/NKbse39V6MipgrvX9XaZeQSSc0l8YfvEZHSpm2vsz&#10;2Sh6DY/zZc5RDcsXEOw/qye+smetMpBVKf8fqH4AUEsDBBQAAAAIAIdO4kCA0O6mlAIAAAcFAAAO&#10;AAAAZHJzL2Uyb0RvYy54bWytVM1uEzEQviPxDpbvdLNRQtuoSRU1FCEVWlEQZ8frzVryH7aTTXkA&#10;HoAzEhIXxEPwOBU8Bp+927QUDj1w2R17xt94vvnGR8dbrchG+CCtmdJyb0CJMNxW0qym9O2b0ycH&#10;lITITMWUNWJKr0Sgx7PHj45aNxFD21hVCU8AYsKkdVPaxOgmRRF4IzQLe9YJA2dtvWYRS78qKs9a&#10;oGtVDAeDp0VrfeW85SIE7C46J+0R/UMAbV1LLhaWr7UwsUP1QrGIkkIjXaCzfNu6Fjye13UQkagp&#10;RaUxf5EE9jJ9i9kRm6w8c43k/RXYQ65wrybNpEHSHdSCRUbWXv4FpSX3Ntg67nGri66QzAiqKAf3&#10;uLlsmBO5FlAd3I708P9g+avNhSeyghLKQ0oM02j59eePv759+vnl+/WPryTtg6XWhQmCL92F71cB&#10;Zip5W3ud/iiGbDOzVztmxTYSjs2yLIfjIUjn8I3LwXiUqS9uTzsf4nNhNUnGlHq7NtVrtC+zyjZn&#10;ISIt4m/iUkZjT6VSuYXKkBZphvuDlIRBlzX0AFM71BbMihKmVhA8jz5DBqtklY4noOBXyxPlyYZB&#10;JsNn49G8zEFqrV/aqtveHw+A3V2ij88X+gMo3W7BQtMdya5OYlpGTI2SekoPgLNDUgYgiduOzWTF&#10;7XLbU7y01RXa422n2+D4qUSGMxbiBfMQKorFKMdzfGplwYDtLUoa6z/8az/FQz/wUtJC+GDn/Zp5&#10;QYl6YaCsw3KE5pCYF6Pxfuqav+tZ3vWYtT6xIK3Eo+F4NlN8VDdm7a1+h4mfp6xwMcORu+tDvziJ&#10;3UDizeBiPs9hmA7H4pm5dDyBd92er6OtZRZCIqpjp+cP85Hb0c9yGsC76xx1+37Nfg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BI8Z2W1gAAAAgBAAAPAAAAAAAAAAEAIAAAADgAAABkcnMvZG93bnJl&#10;di54bWxQSwECFAAUAAAACACHTuJAgNDuppQCAAAHBQAADgAAAAAAAAABACAAAAA7AQAAZHJzL2Uy&#10;b0RvYy54bWxQSwUGAAAAAAYABgBZAQAAQQY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划分评估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单元</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79744" behindDoc="0" locked="0" layoutInCell="1" allowOverlap="1">
                <wp:simplePos x="0" y="0"/>
                <wp:positionH relativeFrom="column">
                  <wp:posOffset>2447290</wp:posOffset>
                </wp:positionH>
                <wp:positionV relativeFrom="paragraph">
                  <wp:posOffset>183515</wp:posOffset>
                </wp:positionV>
                <wp:extent cx="441960" cy="281940"/>
                <wp:effectExtent l="21590" t="6350" r="31750" b="16510"/>
                <wp:wrapNone/>
                <wp:docPr id="120" name="下箭头 120"/>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14.45pt;height:22.2pt;width:34.8pt;z-index:251679744;v-text-anchor:middle;mso-width-relative:page;mso-height-relative:page;" fillcolor="#4874CB [3204]" filled="t" stroked="t" coordsize="21600,21600" o:gfxdata="UEsFBgAAAAAAAAAAAAAAAAAAAAAAAFBLAwQKAAAAAACHTuJAAAAAAAAAAAAAAAAABAAAAGRycy9Q&#10;SwMEFAAAAAgAh07iQLbdAETYAAAACQEAAA8AAABkcnMvZG93bnJldi54bWxNj0FPg0AQhe8m/ofN&#10;mHizSwtYigxNNKn2WvSgt4VdgXR3lrAL1H/verLHyXx573vF/mI0m9XoeksI61UETFFjZU8twsf7&#10;4SED5rwgKbQlhfCjHOzL25tC5NIudFJz5VsWQsjlAqHzfsg5d02njHArOygKv287GuHDObZcjmIJ&#10;4UbzTRQ9ciN6Cg2dGNRLp5pzNRmET+lP593rfKymt2X7LPWxPnwliPd36+gJmFcX/w/Dn35QhzI4&#10;1XYi6ZhGiLM0CSjCJtsBC0CSpmFcjbCNY+Blwa8XlL9QSwMEFAAAAAgAh07iQLqOz2GRAgAAIQUA&#10;AA4AAABkcnMvZTJvRG9jLnhtbK1UzW4TMRC+I/EOlu90s9G2+VE3VUgoQiq0UkGcHa83a8n2GNvJ&#10;prwCr8EVThx4IBCvwdi7TdOWQw9cdmc8429mvpnx6dlOK7IVzkswJc2PBpQIw6GSZl3SD+/PX4wp&#10;8YGZiikwoqQ3wtOz2fNnp62diiE0oCrhCIIYP21tSZsQ7DTLPG+EZv4IrDBorMFpFlB166xyrEV0&#10;rbLhYHCSteAq64AL7/F02Rlpj+ieAgh1LblYAt9oYUKH6oRiAUvyjbSezlK2dS14uKxrLwJRJcVK&#10;Q/piEJRX8ZvNTtl07ZhtJO9TYE9J4UFNmkmDQfdQSxYY2Tj5CEpL7sBDHY446KwrJDGCVeSDB9xc&#10;N8yKVAtS7e2edP//YPm77ZUjssJJGCInhmls+a+fX/58//b76w8SD5Gi1vopel7bK9drHsVY7652&#10;Ov6xErJLtN7saRW7QDgeFkU+OUFwjqbhOJ8UCTO7u2ydD68FaBKFklbQmrlz0CZG2fbCB4yK/rd+&#10;MaAHJatzqVRS3Hq1UI5sGba5GI+KxcuYNl6556YMaWOho0HMhuHw1jg0KGqLBHizpoSpNW4FDy7F&#10;vnfbHwYZvjou5nlyUhv9Fqou9uh4gNh96M7/cRqxjCXzTXclxYhX2FTLgKulpC7pGHH2SMogSOxB&#10;x3qUVlDdYOMcdBPtLT+XCHvBfLhiDkcYK8QlD5f4qRVg2dBLlDTgPv/rPPrjZKGVkhZXAin5tGFO&#10;UKLeGJy5SV5g60hISnE8igPjDi2rQ4vZ6AVgO3J8TixPYvQP6lasHeiP+BbMY1Q0McMxdkd+ryxC&#10;t6r4mnAxnyc33BvLwoW5tjyCR94MzDcBapnG5I6dnjTcnNSDfsvjah7qyevuZZv9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BYAAABkcnMv&#10;UEsBAhQAFAAAAAgAh07iQLbdAETYAAAACQEAAA8AAAAAAAAAAQAgAAAAOAAAAGRycy9kb3ducmV2&#10;LnhtbFBLAQIUABQAAAAIAIdO4kC6js9hkQIAACEFAAAOAAAAAAAAAAEAIAAAAD0BAABkcnMvZTJv&#10;RG9jLnhtbFBLBQYAAAAABgAGAFkBAABABg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0768" behindDoc="0" locked="0" layoutInCell="1" allowOverlap="1">
                <wp:simplePos x="0" y="0"/>
                <wp:positionH relativeFrom="column">
                  <wp:posOffset>2108200</wp:posOffset>
                </wp:positionH>
                <wp:positionV relativeFrom="paragraph">
                  <wp:posOffset>99695</wp:posOffset>
                </wp:positionV>
                <wp:extent cx="1112520" cy="510540"/>
                <wp:effectExtent l="4445" t="4445" r="6985" b="18415"/>
                <wp:wrapNone/>
                <wp:docPr id="121" name="圆角矩形 121"/>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开展危险源识别</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pt;margin-top:7.85pt;height:40.2pt;width:87.6pt;z-index:251680768;v-text-anchor:middle;mso-width-relative:page;mso-height-relative:page;" filled="f" stroked="t" coordsize="21600,21600" arcsize="0.166666666666667" o:gfxdata="UEsFBgAAAAAAAAAAAAAAAAAAAAAAAFBLAwQKAAAAAACHTuJAAAAAAAAAAAAAAAAABAAAAGRycy9Q&#10;SwMEFAAAAAgAh07iQEwmgGvZAAAACQEAAA8AAABkcnMvZG93bnJldi54bWxNj7FOw0AQRHsk/uG0&#10;SHTkzg5JsPE5gggkGgoCKegu9mIbfHuW95KYv2epoBzNaOZNsZ58r444chfIQjIzoJCqUHfUWHh7&#10;fby6AcXRUe36QGjhGxnW5flZ4fI6nOgFj9vYKCkhzp2FNsYh15qrFr3jWRiQxPsIo3dR5NjoenQn&#10;Kfe9To1Zau86koXWDbhpsfraHryFXdrdPSRZdv85Pe+ehnfma96wtZcXibkFFXGKf2H4xRd0KIVp&#10;Hw5Us+otzOepfIliLFagJLAwqxTU3kK2TECXhf7/oPwBUEsDBBQAAAAIAIdO4kA/REEukwIAAAYF&#10;AAAOAAAAZHJzL2Uyb0RvYy54bWytVEtuFDEQ3SNxB8t70tPDDAmj9ESjDEFIgUQExNrjdk9b8g/b&#10;8wkH4ACskZDYIA7BcSI4Bs/uziQEFlmw6S67ql9VvXrVh0dbrcha+CCtqWi5N6BEGG5raZYVffvm&#10;5NEBJSEyUzNljajopQj0aPrwweHGTcTQtlbVwhOAmDDZuIq2MbpJUQTeCs3CnnXCwNlYr1nE0S+L&#10;2rMN0LUqhoPBk2Jjfe285SIE3M47J+0R/X0AbdNILuaWr7QwsUP1QrGIlkIrXaDTXG3TCB7PmiaI&#10;SFRF0WnMTySBvUjPYnrIJkvPXCt5XwK7Twl3etJMGiTdQc1ZZGTl5V9QWnJvg23iHre66BrJjKCL&#10;cnCHm4uWOZF7AdXB7UgP/w+Wv1qfeyJrKGFYUmKYxsivPn/89e3Tzy/fr358JekeLG1cmCD4wp37&#10;/hRgppa3jdfpjWbINjN7uWNWbCPhuCzLcjgegnQO37gcjEeZ+uLma+dDfC6sJsmoqLcrU7/G+DKr&#10;bH0aItIi/jouZTT2RCqVR6gM2VT0cbk/Rg4GWTaQA0zt0FowS0qYWkLvPPqMGKySdfo64QS/XBwr&#10;T9YMKhk+G49mZQ5SK/3S1t31/ngwuK65j8/1/AGUipuz0HafZFenMC0jlkZJXdED4OyQlAFIorYj&#10;M1lxu9j2DC9sfYnpeNvJNjh+IpHhlIV4zjx0CkKxyfEMj0ZZEGB7i5LW+g//uk/xkA+8lGyge7Dz&#10;fsW8oES9MBDW03KE2ZCYD6Pxfhqav+1Z3PaYlT62IA3SQXXZTPFRXZuNt/odFn6WssLFDEfubg79&#10;4Th2+4hfBhezWQ7DcjgWT82F4wm8G/ZsFW0jsw4SUR07PX9YjzyOfpXT/t0+56ib39f0N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BYAAABk&#10;cnMvUEsBAhQAFAAAAAgAh07iQEwmgGvZAAAACQEAAA8AAAAAAAAAAQAgAAAAOAAAAGRycy9kb3du&#10;cmV2LnhtbFBLAQIUABQAAAAIAIdO4kA/REEukwIAAAYFAAAOAAAAAAAAAAEAIAAAAD4BAABkcnMv&#10;ZTJvRG9jLnhtbFBLBQYAAAAABgAGAFkBAABDBgAAAAA=&#10;">
                <v:fill on="f" focussize="0,0"/>
                <v:stroke weight="0.25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开展危险源识别</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1792" behindDoc="0" locked="0" layoutInCell="1" allowOverlap="1">
                <wp:simplePos x="0" y="0"/>
                <wp:positionH relativeFrom="column">
                  <wp:posOffset>2424430</wp:posOffset>
                </wp:positionH>
                <wp:positionV relativeFrom="paragraph">
                  <wp:posOffset>229235</wp:posOffset>
                </wp:positionV>
                <wp:extent cx="441960" cy="281940"/>
                <wp:effectExtent l="21590" t="6350" r="31750" b="16510"/>
                <wp:wrapNone/>
                <wp:docPr id="122" name="下箭头 122"/>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9pt;margin-top:18.05pt;height:22.2pt;width:34.8pt;z-index:251681792;v-text-anchor:middle;mso-width-relative:page;mso-height-relative:page;" fillcolor="#4874CB [3204]" filled="t" stroked="t" coordsize="21600,21600" o:gfxdata="UEsFBgAAAAAAAAAAAAAAAAAAAAAAAFBLAwQKAAAAAACHTuJAAAAAAAAAAAAAAAAABAAAAGRycy9Q&#10;SwMEFAAAAAgAh07iQCib4QnYAAAACQEAAA8AAABkcnMvZG93bnJldi54bWxNj8FOwzAQRO9I/IO1&#10;SNyoY0jbEOJUAqnQawOHcnNik0S111HsJOXvWU5w29GOZt4Uu4uzbDZj6D1KEKsEmMHG6x5bCR/v&#10;+7sMWIgKtbIejYRvE2BXXl8VKtd+waOZq9gyCsGQKwldjEPOeWg641RY+cEg/b786FQkObZcj2qh&#10;cGf5fZJsuFM9UkOnBvPSmeZcTU7CScfj+fF1PlTT27J91vZQ7z9TKW9vRPIELJpL/DPDLz6hQ0lM&#10;tZ9QB2YlPGSC0CMdGwGMDOlapMBqCVmyBl4W/P+C8gdQSwMEFAAAAAgAh07iQNBAVpSSAgAAIQUA&#10;AA4AAABkcnMvZTJvRG9jLnhtbK1UzW4TMRC+I/EOlu90k9W2+VE3VUgoQiq0UkGcHa83a8n2GNvJ&#10;prwCr8EVThx4IBCvwdi7TdOWQw9cdmc8429mvpnx6dlOK7IVzkswJR0eDSgRhkMlzbqkH96fvxhT&#10;4gMzFVNgRElvhKdns+fPTls7FTk0oCrhCIIYP21tSZsQ7DTLPG+EZv4IrDBorMFpFlB166xyrEV0&#10;rbJ8MDjJWnCVdcCF93i67Iy0R3RPAYS6llwsgW+0MKFDdUKxgCX5RlpPZynbuhY8XNa1F4GokmKl&#10;IX0xCMqr+M1mp2y6dsw2kvcpsKek8KAmzaTBoHuoJQuMbJx8BKUld+ChDkccdNYVkhjBKoaDB9xc&#10;N8yKVAtS7e2edP//YPm77ZUjssJJyHNKDNPY8l8/v/z5/u331x8kHiJFrfVT9Ly2V67XPIqx3l3t&#10;dPxjJWSXaL3Z0yp2gXA8LIrh5AQJ52jKx8NJkWjP7i5b58NrAZpEoaQVtGbuHLSJUba98AGjov+t&#10;XwzoQcnqXCqVFLdeLZQjW4ZtLsajYvEypo1X7rkpQ9pY6GgQs2E4vDUODYraIgHerClhao1bwYNL&#10;se/d9odB8lfHxXyYnNRGv4Wqiz06HiB2H7rzf5xGLGPJfNNdSTHiFTbVMuBqKalLOkacPZIyCBJ7&#10;0LEepRVUN9g4B91Ee8vPJcJeMB+umMMRxgpxycMlfmoFWDb0EiUNuM//Oo/+OFlopaTFlUBKPm2Y&#10;E5SoNwZnbjIssHUkJKU4HuWouEPL6tBiNnoB2I4hPieWJzH6B3Ur1g70R3wL5jEqmpjhGLsjv1cW&#10;oVtVfE24mM+TG+6NZeHCXFsewSNvBuabALVMY3LHTk8abk7qQb/lcTUP9eR197LN/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om+EJ2AAAAAkBAAAPAAAAAAAAAAEAIAAAADgAAABkcnMvZG93bnJl&#10;di54bWxQSwECFAAUAAAACACHTuJA0EBWlJICAAAhBQAADgAAAAAAAAABACAAAAA9AQAAZHJzL2Uy&#10;b0RvYy54bWxQSwUGAAAAAAYABgBZAQAAQQY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2816" behindDoc="0" locked="0" layoutInCell="1" allowOverlap="1">
                <wp:simplePos x="0" y="0"/>
                <wp:positionH relativeFrom="column">
                  <wp:posOffset>2092960</wp:posOffset>
                </wp:positionH>
                <wp:positionV relativeFrom="paragraph">
                  <wp:posOffset>137795</wp:posOffset>
                </wp:positionV>
                <wp:extent cx="1112520" cy="510540"/>
                <wp:effectExtent l="6350" t="6350" r="24130" b="16510"/>
                <wp:wrapNone/>
                <wp:docPr id="123" name="圆角矩形 123"/>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开展风险等级分析、评估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8pt;margin-top:10.85pt;height:40.2pt;width:87.6pt;z-index:251682816;v-text-anchor:middle;mso-width-relative:page;mso-height-relative:page;" filled="f" stroked="t" coordsize="21600,21600" arcsize="0.166666666666667" o:gfxdata="UEsFBgAAAAAAAAAAAAAAAAAAAAAAAFBLAwQKAAAAAACHTuJAAAAAAAAAAAAAAAAABAAAAGRycy9Q&#10;SwMEFAAAAAgAh07iQMP85XfXAAAACgEAAA8AAABkcnMvZG93bnJldi54bWxNjzFPwzAQhfdK/Afr&#10;kNionQABQpwOlRiYUAtIjG58JFHjc2q7TfrvOSY6nu7Te9+rVrMbxAlD7D1pyJYKBFLjbU+ths+P&#10;19snEDEZsmbwhBrOGGFVXy0qU1o/0QZP29QKDqFYGg1dSmMpZWw6dCYu/YjEvx8fnEl8hlbaYCYO&#10;d4PMlSqkMz1xQ2dGXHfY7LdHp+FbxsNXmt43h+y8f1Pr2aiAhdY315l6AZFwTv8w/OmzOtTstPNH&#10;slEMGu7y54JRDXn2CIKBB3XPW3ZMqjwDWVfyckL9C1BLAwQUAAAACACHTuJA0DX1YZMCAAAHBQAA&#10;DgAAAGRycy9lMm9Eb2MueG1srVRLbhQxEN0jcQfLe9LdwwwJo8xEowxBSIFEBMTa43ZPW/IP2/MJ&#10;B+AArJGQ2CAOwXEiOAbP7s4kBBZZsOkuu8qvXK9e+fBoqxVZCx+kNRNa7ZWUCMNtLc1yQt++OXl0&#10;QEmIzNRMWSMm9FIEejR9+OBw48ZiYFurauEJQEwYb9yEtjG6cVEE3grNwp51wsDZWK9ZxNIvi9qz&#10;DdC1KgZl+aTYWF87b7kIAbvzzkl7RH8fQNs0kou55SstTOxQvVAsoqTQShfoNN+2aQSPZ00TRCRq&#10;QlFpzF8kgb1I32J6yMZLz1wreX8Fdp8r3KlJM2mQdAc1Z5GRlZd/QWnJvQ22iXvc6qIrJDOCKqry&#10;DjcXLXMi1wKqg9uRHv4fLH+1PvdE1lDC4DElhmm0/Orzx1/fPv388v3qx1eS9sHSxoUxgi/cue9X&#10;AWYqedt4nf4ohmwzs5c7ZsU2Eo7NqqoGowFI5/CNqnI0zNQXN6edD/G5sJokY0K9XZn6NdqXWWXr&#10;0xCRFvHXcSmjsSdSqdxCZcgm1bBfpiQMumygB5jaobZglpQwtYTgefQZMlgl63Q8AQW/XBwrT9YM&#10;Mhk8Gw1nVQ5SK/3S1t32/qgEdneJPj5f6A+gdLs5C213JLs6iWkZMTVK6gk9AM4OSRmAJG47NpMV&#10;t4ttT/HC1pdoj7edboPjJxIZTlmI58xDqCgWoxzP8GmUBQO2tyhprf/wr/0UD/3AS8kGwgc771fM&#10;C0rUCwNlPa2GaA6JeTEc7aeu+duexW2PWeljC9IqPBqOZzPFR3VtNt7qd5j4WcoKFzMcubs+9Ivj&#10;2A0k3gwuZrMchulwLJ6aC8cTeNft2SraRmYhJKI6dnr+MB+5Hf0spwG8vc5RN+/X9D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DD/OV31wAAAAoBAAAPAAAAAAAAAAEAIAAAADgAAABkcnMvZG93bnJl&#10;di54bWxQSwECFAAUAAAACACHTuJA0DX1YZMCAAAHBQAADgAAAAAAAAABACAAAAA8AQAAZHJzL2Uy&#10;b0RvYy54bWxQSwUGAAAAAAYABgBZAQAAQQY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开展风险等级分析、评估</w:t>
                      </w:r>
                    </w:p>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评估</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3840" behindDoc="0" locked="0" layoutInCell="1" allowOverlap="1">
                <wp:simplePos x="0" y="0"/>
                <wp:positionH relativeFrom="column">
                  <wp:posOffset>2432050</wp:posOffset>
                </wp:positionH>
                <wp:positionV relativeFrom="paragraph">
                  <wp:posOffset>259715</wp:posOffset>
                </wp:positionV>
                <wp:extent cx="441960" cy="281940"/>
                <wp:effectExtent l="21590" t="6350" r="31750" b="16510"/>
                <wp:wrapNone/>
                <wp:docPr id="124" name="下箭头 124"/>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5pt;margin-top:20.45pt;height:22.2pt;width:34.8pt;z-index:251683840;v-text-anchor:middle;mso-width-relative:page;mso-height-relative:page;" fillcolor="#4874CB [3204]" filled="t" stroked="t" coordsize="21600,21600" o:gfxdata="UEsFBgAAAAAAAAAAAAAAAAAAAAAAAFBLAwQKAAAAAACHTuJAAAAAAAAAAAAAAAAABAAAAGRycy9Q&#10;SwMEFAAAAAgAh07iQMvQJqTZAAAACQEAAA8AAABkcnMvZG93bnJldi54bWxNjzFvgzAUhPdK/Q/W&#10;q9StsRNISiiPSK2UNmtoh2Qz2AUU/IywgfTf153S8XSnu++y3dV0bNKDay0hLBcCmKbKqpZqhK/P&#10;/VMCzHlJSnaWNMKPdrDL7+8ymSo701FPha9ZKCGXSoTG+z7l3FWNNtItbK8peN92MNIHOdRcDXIO&#10;5abjKyE23MiWwkIje/3W6OpSjAbhpPzxsn2fDsX4MT+/qu5Q7s8x4uPDUrwA8/rqb2H4ww/okAem&#10;0o6kHOsQoiQKXzxCLLbAQiBerzbASoRkHQHPM/7/Qf4LUEsDBBQAAAAIAIdO4kAvFI1RkgIAACEF&#10;AAAOAAAAZHJzL2Uyb0RvYy54bWytVM1uEzEQviPxDpbvdLPRtvlRN1VIKEIqtFJBnB2vN2vJ9hjb&#10;yaa8Aq/BFU4ceCAQr8HYu03TlkMPXHZnPONvZr6Z8enZTiuyFc5LMCXNjwaUCMOhkmZd0g/vz1+M&#10;KfGBmYopMKKkN8LTs9nzZ6etnYohNKAq4QiCGD9tbUmbEOw0yzxvhGb+CKwwaKzBaRZQdeuscqxF&#10;dK2y4WBwkrXgKuuAC+/xdNkZaY/ongIIdS25WALfaGFCh+qEYgFL8o20ns5StnUteLisay8CUSXF&#10;SkP6YhCUV/GbzU7ZdO2YbSTvU2BPSeFBTZpJg0H3UEsWGNk4+QhKS+7AQx2OOOisKyQxglXkgwfc&#10;XDfMilQLUu3tnnT//2D5u+2VI7LCSRgWlBimseW/fn758/3b768/SDxEilrrp+h5ba9cr3kUY727&#10;2un4x0rILtF6s6dV7ALheFgU+eQECedoGo7zSZFoz+4uW+fDawGaRKGkFbRm7hy0iVG2vfABo6L/&#10;rV8M6EHJ6lwqlRS3Xi2UI1uGbS7Go2LxMqaNV+65KUPaWOhoELNhOLw1Dg2K2iIB3qwpYWqNW8GD&#10;S7Hv3faHQYavjot5npzURr+Fqos9Oh4gdh+683+cRixjyXzTXUkx4hU21TLgaimpSzpGnD2SMggS&#10;e9CxHqUVVDfYOAfdRHvLzyXCXjAfrpjDEcYKccnDJX5qBVg29BIlDbjP/zqP/jhZaKWkxZVASj5t&#10;mBOUqDcGZ26SF9g6EpJSHI+GqLhDy+rQYjZ6AdiOHJ8Ty5MY/YO6FWsH+iO+BfMYFU3McIzdkd8r&#10;i9CtKr4mXMznyQ33xrJwYa4tj+CRNwPzTYBapjG5Y6cnDTcn9aDf8riah3ryunvZZn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y9AmpNkAAAAJAQAADwAAAAAAAAABACAAAAA4AAAAZHJzL2Rvd25y&#10;ZXYueG1sUEsBAhQAFAAAAAgAh07iQC8UjVGSAgAAIQUAAA4AAAAAAAAAAQAgAAAAPgEAAGRycy9l&#10;Mm9Eb2MueG1sUEsFBgAAAAAGAAYAWQEAAEIGA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4864" behindDoc="0" locked="0" layoutInCell="1" allowOverlap="1">
                <wp:simplePos x="0" y="0"/>
                <wp:positionH relativeFrom="column">
                  <wp:posOffset>2100580</wp:posOffset>
                </wp:positionH>
                <wp:positionV relativeFrom="paragraph">
                  <wp:posOffset>168275</wp:posOffset>
                </wp:positionV>
                <wp:extent cx="1112520" cy="510540"/>
                <wp:effectExtent l="6350" t="6350" r="24130" b="16510"/>
                <wp:wrapNone/>
                <wp:docPr id="125" name="圆角矩形 125"/>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制定风险控制措施</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5.4pt;margin-top:13.25pt;height:40.2pt;width:87.6pt;z-index:251684864;v-text-anchor:middle;mso-width-relative:page;mso-height-relative:page;" filled="f" stroked="t" coordsize="21600,21600" arcsize="0.166666666666667" o:gfxdata="UEsFBgAAAAAAAAAAAAAAAAAAAAAAAFBLAwQKAAAAAACHTuJAAAAAAAAAAAAAAAAABAAAAGRycy9Q&#10;SwMEFAAAAAgAh07iQI1prgrXAAAACgEAAA8AAABkcnMvZG93bnJldi54bWxNjzFPwzAQhXck/oN1&#10;SGzUTqtaEOJ0qMTAhFpAYnTjI4kan1PbbdJ/zzHBeLpP732v2sx+EBeMqQ9koFgoEEhNcD21Bj7e&#10;Xx4eQaRsydkhEBq4YoJNfXtT2dKFiXZ42edWcAil0hroch5LKVPTobdpEUYk/n2H6G3mM7bSRTtx&#10;uB/kUiktve2JGzo74rbD5rg/ewNfMp0+8/S2OxXX46vazlZF1Mbc3xXqGUTGOf/B8KvP6lCz0yGc&#10;ySUxGFitFKtnA0u9BsHAWmked2BS6SeQdSX/T6h/AFBLAwQUAAAACACHTuJA+cy70ZICAAAHBQAA&#10;DgAAAGRycy9lMm9Eb2MueG1srVTNbhMxEL4j8Q6W73SzUUJL1KSKGoqQCq0oiLPj9WYt+Q/byaY8&#10;AA/QMxISF8RD8DgVPAafvdu0FA49cNkde8bfeL75xodHW63IRvggrZnScm9AiTDcVtKspvTd25Mn&#10;B5SEyEzFlDViSi9FoEezx48OWzcRQ9tYVQlPAGLCpHVT2sToJkUReCM0C3vWCQNnbb1mEUu/KirP&#10;WqBrVQwHg6dFa33lvOUiBOwuOiftEf1DAG1dSy4Wlq+1MLFD9UKxiJJCI12gs3zbuhY8ntV1EJGo&#10;KUWlMX+RBPYyfYvZIZusPHON5P0V2EOucK8mzaRB0h3UgkVG1l7+BaUl9zbYOu5xq4uukMwIqigH&#10;97i5aJgTuRZQHdyO9PD/YPnrzbknsoIShmNKDNNo+fXnT7++Xf388v36x1eS9sFS68IEwRfu3Per&#10;ADOVvK29Tn8UQ7aZ2csds2IbCcdmWQJmCNI5fONyMB5l6ovb086H+EJYTZIxpd6uTfUG7cusss1p&#10;iEiL+Ju4lNHYE6lUbqEypE017A9SEgZd1tADTO1QWzArSphaQfA8+gwZrJJVOp6Agl8tj5UnGwaZ&#10;DJ+PR/MyB6m1fmWrbnt/PAB2d4k+Pl/oD6B0uwULTXckuzqJaRkxNUrqKT0Azg5JGYAkbjs2kxW3&#10;y21P8dJWl2iPt51ug+MnEhlOWYjnzEOoKBajHM/wqZUFA7a3KGms//iv/RQP/cBLSQvhg50Pa+YF&#10;JeqlgbKelSM0h8S8GI33U9f8Xc/yrses9bEFaSUeDcezmeKjujFrb/V7TPw8ZYWLGY7cXR/6xXHs&#10;BhJvBhfzeQ7DdDgWT82F4wm86/Z8HW0tsxASUR07PX+Yj9yOfpbTAN5d56jb92v2G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BgFAABbQ29udGVu&#10;dF9UeXBlc10ueG1sUEsBAhQACgAAAAAAh07iQAAAAAAAAAAAAAAAAAYAAAAAAAAAAAAQAAAA+gMA&#10;AF9yZWxzL1BLAQIUABQAAAAIAIdO4kCKFGY80QAAAJQBAAALAAAAAAAAAAEAIAAAAB4EAABfcmVs&#10;cy8ucmVsc1BLAQIUAAoAAAAAAIdO4kAAAAAAAAAAAAAAAAAEAAAAAAAAAAAAEAAAABYAAABkcnMv&#10;UEsBAhQAFAAAAAgAh07iQI1prgrXAAAACgEAAA8AAAAAAAAAAQAgAAAAOAAAAGRycy9kb3ducmV2&#10;LnhtbFBLAQIUABQAAAAIAIdO4kD5zLvRkgIAAAcFAAAOAAAAAAAAAAEAIAAAADwBAABkcnMvZTJv&#10;RG9jLnhtbFBLBQYAAAAABgAGAFkBAABABg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制定风险控制措施</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5888" behindDoc="0" locked="0" layoutInCell="1" allowOverlap="1">
                <wp:simplePos x="0" y="0"/>
                <wp:positionH relativeFrom="column">
                  <wp:posOffset>2416810</wp:posOffset>
                </wp:positionH>
                <wp:positionV relativeFrom="paragraph">
                  <wp:posOffset>305435</wp:posOffset>
                </wp:positionV>
                <wp:extent cx="441960" cy="281940"/>
                <wp:effectExtent l="21590" t="6350" r="31750" b="16510"/>
                <wp:wrapNone/>
                <wp:docPr id="126" name="下箭头 126"/>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0.3pt;margin-top:24.05pt;height:22.2pt;width:34.8pt;z-index:251685888;v-text-anchor:middle;mso-width-relative:page;mso-height-relative:page;" fillcolor="#4874CB [3204]" filled="t" stroked="t" coordsize="21600,21600" o:gfxdata="UEsFBgAAAAAAAAAAAAAAAAAAAAAAAFBLAwQKAAAAAACHTuJAAAAAAAAAAAAAAAAABAAAAGRycy9Q&#10;SwMEFAAAAAgAh07iQCOcc0rYAAAACQEAAA8AAABkcnMvZG93bnJldi54bWxNj0FPg0AQhe8m/ofN&#10;mHizuyBtKTI00aTaa9FDvS3sCqTsLGEXqP/e9aTHyfvy3jf5/mp6NuvRdZYQopUApqm2qqMG4eP9&#10;8JACc16Skr0ljfCtHeyL25tcZsoudNJz6RsWSshlEqH1fsg4d3WrjXQrO2gK2ZcdjfThHBuuRrmE&#10;ctPzWIgNN7KjsNDKQb+0ur6Uk0E4K3+67F7nYzm9Ldtn1R+rw2eCeH8XiSdgXl/9Hwy/+kEdiuBU&#10;2YmUYz3CYyo2AUVI0ghYAJK1iIFVCLt4DbzI+f8Pih9QSwMEFAAAAAgAh07iQEXaFKSSAgAAIQUA&#10;AA4AAABkcnMvZTJvRG9jLnhtbK1UzW4TMRC+I/EOlu90s9G2+VE3VUgoQiq0UkGcHa83a8n2GNvJ&#10;prwCr8EVThx4IBCvwdi7TdOWQw9cdmc8429mvpnx6dlOK7IVzkswJc2PBpQIw6GSZl3SD+/PX4wp&#10;8YGZiikwoqQ3wtOz2fNnp62diiE0oCrhCIIYP21tSZsQ7DTLPG+EZv4IrDBorMFpFlB166xyrEV0&#10;rbLhYHCSteAq64AL7/F02Rlpj+ieAgh1LblYAt9oYUKH6oRiAUvyjbSezlK2dS14uKxrLwJRJcVK&#10;Q/piEJRX8ZvNTtl07ZhtJO9TYE9J4UFNmkmDQfdQSxYY2Tj5CEpL7sBDHY446KwrJDGCVeSDB9xc&#10;N8yKVAtS7e2edP//YPm77ZUjssJJGJ5QYpjGlv/6+eXP92+/v/4g8RApaq2foue1vXK95lGM9e5q&#10;p+MfKyG7ROvNnlaxC4TjYVHkkxMknKNpOM4nRaI9u7tsnQ+vBWgShZJW0Jq5c9AmRtn2wgeMiv63&#10;fjGgByWrc6lUUtx6tVCObBm2uRiPisXLmDZeueemDGljoaNBzIbh8NY4NChqiwR4s6aEqTVuBQ8u&#10;xb532x8GGb46LuZ5clIb/RaqLvboeIDYfejO/3EasYwl8013JcWIV9hUy4CrpaQu6Rhx9kjKIEjs&#10;Qcd6lFZQ3WDjHHQT7S0/lwh7wXy4Yg5HGCvEJQ+X+KkVYNnQS5Q04D7/6zz642ShlZIWVwIp+bRh&#10;TlCi3hicuUleYOtISEpxPBqi4g4tq0OL2egFYDtyfE4sT2L0D+pWrB3oj/gWzGNUNDHDMXZHfq8s&#10;Qreq+JpwMZ8nN9wby8KFubY8gkfeDMw3AWqZxuSOnZ403JzUg37L42oe6snr7mWb/Q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jnHNK2AAAAAkBAAAPAAAAAAAAAAEAIAAAADgAAABkcnMvZG93bnJl&#10;di54bWxQSwECFAAUAAAACACHTuJARdoUpJICAAAhBQAADgAAAAAAAAABACAAAAA9AQAAZHJzL2Uy&#10;b0RvYy54bWxQSwUGAAAAAAYABgBZAQAAQQYAAAAA&#10;" adj="10800,5400">
                <v:fill on="t" focussize="0,0"/>
                <v:stroke weight="1pt" color="#2E54A1 [2404]" miterlimit="8" joinstyle="miter"/>
                <v:imagedata o:title=""/>
                <o:lock v:ext="edit" aspectratio="f"/>
              </v:shape>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86912" behindDoc="0" locked="0" layoutInCell="1" allowOverlap="1">
                <wp:simplePos x="0" y="0"/>
                <wp:positionH relativeFrom="column">
                  <wp:posOffset>2100580</wp:posOffset>
                </wp:positionH>
                <wp:positionV relativeFrom="paragraph">
                  <wp:posOffset>213995</wp:posOffset>
                </wp:positionV>
                <wp:extent cx="1112520" cy="510540"/>
                <wp:effectExtent l="6350" t="6350" r="24130" b="16510"/>
                <wp:wrapNone/>
                <wp:docPr id="127" name="圆角矩形 127"/>
                <wp:cNvGraphicFramePr/>
                <a:graphic xmlns:a="http://schemas.openxmlformats.org/drawingml/2006/main">
                  <a:graphicData uri="http://schemas.microsoft.com/office/word/2010/wordprocessingShape">
                    <wps:wsp>
                      <wps:cNvSpPr/>
                      <wps:spPr>
                        <a:xfrm>
                          <a:off x="0" y="0"/>
                          <a:ext cx="1112520" cy="510540"/>
                        </a:xfrm>
                        <a:prstGeom prst="roundRect">
                          <a:avLst/>
                        </a:prstGeom>
                        <a:noFill/>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形成安全风险评估报告</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5.4pt;margin-top:16.85pt;height:40.2pt;width:87.6pt;z-index:251686912;v-text-anchor:middle;mso-width-relative:page;mso-height-relative:page;" filled="f" stroked="t" coordsize="21600,21600" arcsize="0.166666666666667" o:gfxdata="UEsFBgAAAAAAAAAAAAAAAAAAAAAAAFBLAwQKAAAAAACHTuJAAAAAAAAAAAAAAAAABAAAAGRycy9Q&#10;SwMEFAAAAAgAh07iQGWiOxTWAAAACgEAAA8AAABkcnMvZG93bnJldi54bWxNj8FOwzAMhu9IvENk&#10;JG4sCYOCStMdJnHghDZA4ug1pq3WJF2Srd3b453gZsuffn9/tZrdIE4UUx+8Ab1QIMg3wfa+NfD5&#10;8Xr3DCJl9BaH4MnAmRKs6uurCksbJr+h0za3gkN8KtFAl/NYSpmajhymRRjJ8+0nRIeZ19hKG3Hi&#10;cDfIe6UK6bD3/KHDkdYdNfvt0Rn4lunwlaf3zUGf929qPaOKVBhze6PVC4hMc/6D4aLP6lCz0y4c&#10;vU1iMLBcKlbPl+EJBAOPquByOyb1gwZZV/J/hfoXUEsDBBQAAAAIAIdO4kAeZH6+kgIAAAcFAAAO&#10;AAAAZHJzL2Uyb0RvYy54bWytVM1uEzEQviPxDpbvdLNRQkvUpIoaipAKrSiIs+P1Zi35D9vJpjwA&#10;D9AzEhIXxEPwOBU8Bp+927QUDj1w2R17xt94vvnGh0dbrchG+CCtmdJyb0CJMNxW0qym9N3bkycH&#10;lITITMWUNWJKL0WgR7PHjw5bNxFD21hVCU8AYsKkdVPaxOgmRRF4IzQLe9YJA2dtvWYRS78qKs9a&#10;oGtVDAeDp0VrfeW85SIE7C46J+0R/UMAbV1LLhaWr7UwsUP1QrGIkkIjXaCzfNu6Fjye1XUQkagp&#10;RaUxf5EE9jJ9i9khm6w8c43k/RXYQ65wrybNpEHSHdSCRUbWXv4FpSX3Ntg67nGri66QzAiqKAf3&#10;uLlomBO5FlAd3I708P9g+evNuSeyghKG+5QYptHy68+ffn27+vnl+/WPryTtg6XWhQmCL9y571cB&#10;Zip5W3ud/iiGbDOzlztmxTYSjs2yLIfjIUjn8I3LwXiUqS9uTzsf4gthNUnGlHq7NtUbtC+zyjan&#10;ISIt4m/iUkZjT6RSuYXKkDbXMEhJGHRZQw8wtUNtwawoYWoFwfPoM2SwSlbpeAIKfrU8Vp5sGGQy&#10;fD4ezcscpNb6la267f3xANjdJfr4fKE/gNLtFiw03ZHs6iSmZcTUKKmn9AA4OyRlAJK47dhMVtwu&#10;tz3FS1tdoj3edroNjp9IZDhlIZ4zD6GiWIxyPMOnVhYM2N6ipLH+47/2Uzz0Ay8lLYQPdj6smReU&#10;qJcGynpWjtAcEvNiNN5PXfN3Pcu7HrPWxxaklXg0HM9mio/qxqy91e8x8fOUFS5mOHJ3fegXx7Eb&#10;SLwZXMznOQzT4Vg8NReOJ/Cu2/N1tLXMQkhEdez0/GE+cjv6WU4DeHedo27fr9lv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ZaI7FNYAAAAKAQAADwAAAAAAAAABACAAAAA4AAAAZHJzL2Rvd25yZXYu&#10;eG1sUEsBAhQAFAAAAAgAh07iQB5kfr6SAgAABwUAAA4AAAAAAAAAAQAgAAAAOwEAAGRycy9lMm9E&#10;b2MueG1sUEsFBgAAAAAGAAYAWQEAAD8GAAAAAA==&#10;">
                <v:fill on="f" focussize="0,0"/>
                <v:stroke weight="1pt" color="#2E54A1 [2404]" miterlimit="8" joinstyle="miter"/>
                <v:imagedata o:title=""/>
                <o:lock v:ext="edit" aspectratio="f"/>
                <v:textbox>
                  <w:txbxContent>
                    <w:p>
                      <w:pPr>
                        <w:jc w:val="center"/>
                        <w:rPr>
                          <w:rFonts w:eastAsia="宋体"/>
                          <w:lang w:val="en-US" w:eastAsia="zh-CN"/>
                          <w14:textOutline w14:w="3175" w14:cap="flat" w14:cmpd="sng" w14:algn="ctr">
                            <w14:solidFill>
                              <w14:schemeClr w14:val="tx1"/>
                            </w14:solidFill>
                            <w14:prstDash w14:val="solid"/>
                            <w14:round/>
                          </w14:textOutline>
                        </w:rPr>
                      </w:pPr>
                      <w:r>
                        <w:rPr>
                          <w:rFonts w:hint="eastAsia" w:eastAsia="宋体"/>
                          <w:lang w:val="en-US" w:eastAsia="zh-CN"/>
                          <w14:textOutline w14:w="3175" w14:cap="flat" w14:cmpd="sng" w14:algn="ctr">
                            <w14:solidFill>
                              <w14:schemeClr w14:val="tx1"/>
                            </w14:solidFill>
                            <w14:prstDash w14:val="solid"/>
                            <w14:round/>
                          </w14:textOutline>
                        </w:rPr>
                        <w:t>形成安全风险评估报告</w:t>
                      </w:r>
                    </w:p>
                  </w:txbxContent>
                </v:textbox>
              </v:roundrect>
            </w:pict>
          </mc:Fallback>
        </mc:AlternateConten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p>
    <w:p>
      <w:pPr>
        <w:numPr>
          <w:ilvl w:val="0"/>
          <w:numId w:val="1"/>
        </w:numPr>
        <w:spacing w:line="360" w:lineRule="auto"/>
        <w:ind w:firstLine="562" w:firstLineChars="200"/>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安全风险识别方法选择</w:t>
      </w:r>
    </w:p>
    <w:p>
      <w:pPr>
        <w:spacing w:line="360" w:lineRule="auto"/>
        <w:ind w:firstLine="420" w:firstLineChars="20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风险识别可采用以下一种或多种方法的组合，一般有询问与交流、现场检查、查阅有关记录、检查表法、头脑风暴法、流程图法、系统分析法、历史个例排序、综合推断法等。</w:t>
      </w:r>
    </w:p>
    <w:p>
      <w:pPr>
        <w:numPr>
          <w:ilvl w:val="0"/>
          <w:numId w:val="1"/>
        </w:numPr>
        <w:spacing w:line="360" w:lineRule="auto"/>
        <w:ind w:firstLine="562" w:firstLineChars="200"/>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安全风险分析评估方法选择</w:t>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安全风险分析评估可采用一种或多种方法组合，常用的方法有：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1"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1.定性分析法</w:t>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安全检查表法、类比法、现场调查法、故障类型与影响分析法、经验分析法等。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1"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2.定量分析法</w:t>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概率法、指数法、灰色理论分析法、模糊综合评价法、计算机模拟分析法、信息扩散法等。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1" w:firstLineChars="200"/>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3.半定量分析法</w:t>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风险矩阵法、层次分析法、影响图分析法、事件树分析法、故障树分析法、历史演变法等。</w:t>
      </w:r>
    </w:p>
    <w:p>
      <w:pPr>
        <w:numPr>
          <w:ilvl w:val="0"/>
          <w:numId w:val="1"/>
        </w:numPr>
        <w:spacing w:line="360" w:lineRule="auto"/>
        <w:ind w:firstLine="562" w:firstLineChars="200"/>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安全风险分析、评级结果的表达</w:t>
      </w:r>
    </w:p>
    <w:p>
      <w:pPr>
        <w:spacing w:line="360" w:lineRule="auto"/>
        <w:ind w:firstLine="42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表1 事故发生的可能性分析</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5"/>
        <w:gridCol w:w="3600"/>
        <w:gridCol w:w="40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级别</w:t>
            </w:r>
          </w:p>
        </w:tc>
        <w:tc>
          <w:tcPr>
            <w:tcW w:w="3600"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说明</w:t>
            </w:r>
          </w:p>
        </w:tc>
        <w:tc>
          <w:tcPr>
            <w:tcW w:w="407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Ⅰ</w:t>
            </w:r>
          </w:p>
        </w:tc>
        <w:tc>
          <w:tcPr>
            <w:tcW w:w="3600"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极有可能发生</w:t>
            </w:r>
          </w:p>
        </w:tc>
        <w:tc>
          <w:tcPr>
            <w:tcW w:w="407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测绘行业内发生频率极高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Ⅱ</w:t>
            </w:r>
          </w:p>
        </w:tc>
        <w:tc>
          <w:tcPr>
            <w:tcW w:w="3600"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很可能发生</w:t>
            </w:r>
          </w:p>
        </w:tc>
        <w:tc>
          <w:tcPr>
            <w:tcW w:w="407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测绘行业内</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发生</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频率较高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Ⅲ</w:t>
            </w:r>
          </w:p>
        </w:tc>
        <w:tc>
          <w:tcPr>
            <w:tcW w:w="3600"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可能发生</w:t>
            </w:r>
          </w:p>
        </w:tc>
        <w:tc>
          <w:tcPr>
            <w:tcW w:w="407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测绘行业内发生过，类似区域/作业也偶有发生；评估范围未发生过，但类似区域/作业发生频率较高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Ⅳ</w:t>
            </w:r>
          </w:p>
        </w:tc>
        <w:tc>
          <w:tcPr>
            <w:tcW w:w="3600"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较不可能发生</w:t>
            </w:r>
          </w:p>
        </w:tc>
        <w:tc>
          <w:tcPr>
            <w:tcW w:w="407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测绘行业内未发生过，类似区域/作业偶有发生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微软雅黑" w:cs="Times New Roman"/>
                <w:color w:val="000000" w:themeColor="text1"/>
                <w:sz w:val="21"/>
                <w:szCs w:val="21"/>
                <w:lang w:val="en-US" w:eastAsia="zh-CN"/>
                <w14:textFill>
                  <w14:solidFill>
                    <w14:schemeClr w14:val="tx1"/>
                  </w14:solidFill>
                </w14:textFill>
              </w:rPr>
              <w:t>Ⅴ</w:t>
            </w:r>
          </w:p>
        </w:tc>
        <w:tc>
          <w:tcPr>
            <w:tcW w:w="3600"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基本不可能发生</w:t>
            </w:r>
          </w:p>
        </w:tc>
        <w:tc>
          <w:tcPr>
            <w:tcW w:w="4077" w:type="dxa"/>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测绘行业内未发生过，类似区域/作业也极少发生</w:t>
            </w:r>
          </w:p>
        </w:tc>
      </w:tr>
    </w:tbl>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br w:type="page"/>
      </w:r>
    </w:p>
    <w:p>
      <w:pPr>
        <w:spacing w:line="360" w:lineRule="auto"/>
        <w:ind w:firstLine="42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表2 事故发生的后果严重性分析</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5"/>
        <w:gridCol w:w="1896"/>
        <w:gridCol w:w="57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级别</w:t>
            </w:r>
          </w:p>
        </w:tc>
        <w:tc>
          <w:tcPr>
            <w:tcW w:w="1896"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说明</w:t>
            </w:r>
          </w:p>
        </w:tc>
        <w:tc>
          <w:tcPr>
            <w:tcW w:w="5721"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1896"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影响特别重大</w:t>
            </w:r>
          </w:p>
        </w:tc>
        <w:tc>
          <w:tcPr>
            <w:tcW w:w="5721"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造成3人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以上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死亡</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或10人以上重伤（包括急性工业中毒，下同），经济损失1000万元</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以上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，造成极其恶劣的社会舆论影响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896"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影响重大</w:t>
            </w:r>
          </w:p>
        </w:tc>
        <w:tc>
          <w:tcPr>
            <w:tcW w:w="5721"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人死亡</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或5人以上10人以下重伤，经济损失500万元</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以上1000万元以下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，造成恶劣的社会舆论影响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896"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影响较大</w:t>
            </w:r>
          </w:p>
        </w:tc>
        <w:tc>
          <w:tcPr>
            <w:tcW w:w="5721"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造成1人死亡</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或3人以上5人以下重伤，经济损失300万元</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以上500万元以下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，在一定范围内造成不良的舆论影响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896"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影响一般</w:t>
            </w:r>
          </w:p>
        </w:tc>
        <w:tc>
          <w:tcPr>
            <w:tcW w:w="5721" w:type="dxa"/>
          </w:tcPr>
          <w:p>
            <w:pPr>
              <w:keepNext w:val="0"/>
              <w:keepLines w:val="0"/>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造成3人以下重伤，经济损失50万元</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以上300万元以下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，现场处理（第一时间救助）可以立刻缓解伤情，有较小的社会舆论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5" w:type="dxa"/>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896" w:type="dxa"/>
            <w:vAlign w:val="center"/>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影响很小</w:t>
            </w:r>
          </w:p>
        </w:tc>
        <w:tc>
          <w:tcPr>
            <w:tcW w:w="5721"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无人员伤亡，经济损失轻微，不会造成不良的社会舆论影响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22" w:type="dxa"/>
            <w:gridSpan w:val="3"/>
          </w:tcPr>
          <w:p>
            <w:pPr>
              <w:keepNext w:val="0"/>
              <w:keepLines w:val="0"/>
              <w:suppressLineNumbers w:val="0"/>
              <w:spacing w:before="0" w:beforeAutospacing="0" w:after="0" w:afterAutospacing="0" w:line="360" w:lineRule="auto"/>
              <w:ind w:left="0" w:right="0" w:firstLine="42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注：1.本表所称的“以上”包括本数，所称的“以下”不包括本数。</w:t>
            </w:r>
          </w:p>
          <w:p>
            <w:pPr>
              <w:keepNext w:val="0"/>
              <w:keepLines w:val="0"/>
              <w:suppressLineNumbers w:val="0"/>
              <w:spacing w:before="0" w:beforeAutospacing="0" w:after="0" w:afterAutospacing="0" w:line="360" w:lineRule="auto"/>
              <w:ind w:left="0" w:right="0" w:firstLine="42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2.风险后果中死亡人数、重伤人数和经济损失的确定参考《生产安全事故报告和调查处理条例》（国务院令493号）和结合行业事故案例经验归纳总结，若行业主管部门对后果严重性有明确分级的，可依据行业主管部门的规定具体实施。</w:t>
            </w:r>
          </w:p>
          <w:p>
            <w:pPr>
              <w:keepNext w:val="0"/>
              <w:keepLines w:val="0"/>
              <w:suppressLineNumbers w:val="0"/>
              <w:spacing w:before="0" w:beforeAutospacing="0" w:after="0" w:afterAutospacing="0" w:line="360" w:lineRule="auto"/>
              <w:ind w:left="0" w:right="0" w:firstLine="787" w:firstLineChars="375"/>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本表为测绘单位内部风险后果严重性分级标准，仅用于安全生产风险矩阵评价与隐患分级管控，不替代国家法定事故等级认定标准。</w:t>
            </w:r>
          </w:p>
        </w:tc>
      </w:tr>
    </w:tbl>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spacing w:line="360" w:lineRule="auto"/>
        <w:ind w:firstLine="42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表3  风险评级（风险矩阵）</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1757"/>
        <w:gridCol w:w="1217"/>
        <w:gridCol w:w="1217"/>
        <w:gridCol w:w="1218"/>
        <w:gridCol w:w="1218"/>
        <w:gridCol w:w="12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gridSpan w:val="2"/>
            <w:vMerge w:val="restart"/>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风险等级</w:t>
            </w:r>
          </w:p>
        </w:tc>
        <w:tc>
          <w:tcPr>
            <w:tcW w:w="6088" w:type="dxa"/>
            <w:gridSpan w:val="5"/>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后果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4" w:type="dxa"/>
            <w:gridSpan w:val="2"/>
            <w:vMerge w:val="continue"/>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17"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影响特别重大</w:t>
            </w:r>
          </w:p>
        </w:tc>
        <w:tc>
          <w:tcPr>
            <w:tcW w:w="1217"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影响重大</w:t>
            </w:r>
          </w:p>
        </w:tc>
        <w:tc>
          <w:tcPr>
            <w:tcW w:w="1218"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影响较大</w:t>
            </w:r>
          </w:p>
        </w:tc>
        <w:tc>
          <w:tcPr>
            <w:tcW w:w="1218"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影响一般</w:t>
            </w:r>
          </w:p>
        </w:tc>
        <w:tc>
          <w:tcPr>
            <w:tcW w:w="1218" w:type="dxa"/>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影响很小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Merge w:val="restart"/>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能</w:t>
            </w:r>
          </w:p>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性</w:t>
            </w:r>
          </w:p>
        </w:tc>
        <w:tc>
          <w:tcPr>
            <w:tcW w:w="175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极有可能发生</w:t>
            </w:r>
          </w:p>
        </w:tc>
        <w:tc>
          <w:tcPr>
            <w:tcW w:w="1217" w:type="dxa"/>
            <w:shd w:val="clear" w:color="auto" w:fill="FF0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25</w:t>
            </w:r>
          </w:p>
        </w:tc>
        <w:tc>
          <w:tcPr>
            <w:tcW w:w="1217" w:type="dxa"/>
            <w:shd w:val="clear" w:color="auto" w:fill="FF0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1218" w:type="dxa"/>
            <w:shd w:val="clear" w:color="auto" w:fill="FFC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1218" w:type="dxa"/>
            <w:shd w:val="clear" w:color="auto" w:fill="FFFF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1218"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Merge w:val="continue"/>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5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很可能发生</w:t>
            </w:r>
          </w:p>
        </w:tc>
        <w:tc>
          <w:tcPr>
            <w:tcW w:w="1217" w:type="dxa"/>
            <w:shd w:val="clear" w:color="auto" w:fill="FF0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1217" w:type="dxa"/>
            <w:shd w:val="clear" w:color="auto" w:fill="FFC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16</w:t>
            </w:r>
          </w:p>
        </w:tc>
        <w:tc>
          <w:tcPr>
            <w:tcW w:w="1218" w:type="dxa"/>
            <w:shd w:val="clear" w:color="auto" w:fill="FFC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w:t>
            </w:r>
          </w:p>
        </w:tc>
        <w:tc>
          <w:tcPr>
            <w:tcW w:w="1218" w:type="dxa"/>
            <w:shd w:val="clear" w:color="auto" w:fill="FFFF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1218"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Merge w:val="continue"/>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5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可能发生</w:t>
            </w:r>
          </w:p>
        </w:tc>
        <w:tc>
          <w:tcPr>
            <w:tcW w:w="1217" w:type="dxa"/>
            <w:shd w:val="clear" w:color="auto" w:fill="FFC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1217" w:type="dxa"/>
            <w:shd w:val="clear" w:color="auto" w:fill="FFC0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w:t>
            </w:r>
          </w:p>
        </w:tc>
        <w:tc>
          <w:tcPr>
            <w:tcW w:w="1218" w:type="dxa"/>
            <w:shd w:val="clear" w:color="auto" w:fill="FFFF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w:t>
            </w:r>
          </w:p>
        </w:tc>
        <w:tc>
          <w:tcPr>
            <w:tcW w:w="1218"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218"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Merge w:val="continue"/>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5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较不可能发生</w:t>
            </w:r>
          </w:p>
        </w:tc>
        <w:tc>
          <w:tcPr>
            <w:tcW w:w="1217" w:type="dxa"/>
            <w:shd w:val="clear" w:color="auto" w:fill="FFFF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1217" w:type="dxa"/>
            <w:shd w:val="clear" w:color="auto" w:fill="FFFF0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1218"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1218"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218"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7" w:type="dxa"/>
            <w:vMerge w:val="continue"/>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757"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基本不可能发生</w:t>
            </w:r>
          </w:p>
        </w:tc>
        <w:tc>
          <w:tcPr>
            <w:tcW w:w="1217"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1217" w:type="dxa"/>
            <w:shd w:val="clear" w:color="auto" w:fill="0070C0"/>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1218"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1218"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1218" w:type="dxa"/>
          </w:tcPr>
          <w:p>
            <w:pPr>
              <w:keepNext w:val="0"/>
              <w:keepLines w:val="0"/>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gridSpan w:val="7"/>
          </w:tcPr>
          <w:p>
            <w:pPr>
              <w:keepNext w:val="0"/>
              <w:keepLines w:val="0"/>
              <w:suppressLineNumbers w:val="0"/>
              <w:tabs>
                <w:tab w:val="left" w:pos="1313"/>
                <w:tab w:val="left" w:pos="3569"/>
                <w:tab w:val="left" w:pos="5561"/>
              </w:tabs>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91008" behindDoc="0" locked="0" layoutInCell="1" allowOverlap="1">
                      <wp:simplePos x="0" y="0"/>
                      <wp:positionH relativeFrom="column">
                        <wp:posOffset>4163695</wp:posOffset>
                      </wp:positionH>
                      <wp:positionV relativeFrom="paragraph">
                        <wp:posOffset>80010</wp:posOffset>
                      </wp:positionV>
                      <wp:extent cx="220980" cy="121920"/>
                      <wp:effectExtent l="6350" t="6350" r="20320" b="24130"/>
                      <wp:wrapNone/>
                      <wp:docPr id="128" name="矩形 128"/>
                      <wp:cNvGraphicFramePr/>
                      <a:graphic xmlns:a="http://schemas.openxmlformats.org/drawingml/2006/main">
                        <a:graphicData uri="http://schemas.microsoft.com/office/word/2010/wordprocessingShape">
                          <wps:wsp>
                            <wps:cNvSpPr/>
                            <wps:spPr>
                              <a:xfrm>
                                <a:off x="0" y="0"/>
                                <a:ext cx="220980" cy="121920"/>
                              </a:xfrm>
                              <a:prstGeom prst="rect">
                                <a:avLst/>
                              </a:prstGeom>
                              <a:solidFill>
                                <a:srgbClr val="0070C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27.85pt;margin-top:6.3pt;height:9.6pt;width:17.4pt;z-index:251691008;v-text-anchor:middle;mso-width-relative:page;mso-height-relative:page;" fillcolor="#0070C0" filled="t" stroked="t" coordsize="21600,21600" o:gfxdata="UEsFBgAAAAAAAAAAAAAAAAAAAAAAAFBLAwQKAAAAAACHTuJAAAAAAAAAAAAAAAAABAAAAGRycy9Q&#10;SwMEFAAAAAgAh07iQJa4cHnYAAAACQEAAA8AAABkcnMvZG93bnJldi54bWxNj8FOwzAQRO9I/IO1&#10;SNyonaKkbYhTiSLEAQnUgnp24yWJGq8j22nL37Oc4Liap5m31friBnHCEHtPGrKZAoHUeNtTq+Hz&#10;4/luCSImQ9YMnlDDN0ZY19dXlSmtP9MWT7vUCi6hWBoNXUpjKWVsOnQmzvyIxNmXD84kPkMrbTBn&#10;LneDnCtVSGd64oXOjLjpsDnuJqfB+8f8ZWHfRpUd9/n0Gt63myep9e1Nph5AJLykPxh+9VkdanY6&#10;+IlsFIOGIs8XjHIwL0AwUKxUDuKg4T5bgqwr+f+D+gdQSwMEFAAAAAgAh07iQJtw7FyEAgAAGQUA&#10;AA4AAABkcnMvZTJvRG9jLnhtbK1UzW4TMRC+I/EOlu90N6uUNFGTKkooQiq0UkGcHa83a8l/2M5P&#10;eRkkbjwEj4N4DT57t2laOPTAZXfGM/5m5psZn1/stSJb4YO0ZkoHJyUlwnBbS7Oe0k8fL1+dURIi&#10;MzVT1ogpvROBXsxevjjfuYmobGtVLTwBiAmTnZvSNkY3KYrAW6FZOLFOGBgb6zWLUP26qD3bAV2r&#10;oirL18XO+tp5y0UIOF12Rtoj+ucA2qaRXCwt32hhYofqhWIRJYVWukBnOdumETxeN00QkagpRaUx&#10;fxEE8ip9i9k5m6w9c63kfQrsOSk8qUkzaRD0ALVkkZGNl39Bacm9DbaJJ9zqoiskM4IqBuUTbm5b&#10;5kSuBVQHdyA9/D9Y/mF744msMQkVGm+YRst/f/vx6+d3kk7Az86FCdxu3Y3vtQAxFbtvvE5/lEH2&#10;mdO7A6diHwnHYVWV4zOwzWEaVINxlTkvHi47H+JbYTVJwpR6tCwzybZXISIgXO9dUqxglawvpVJZ&#10;8evVQnmyZam95ahc3KM/clOG7FL0UZkSYRjaBsMCUTsUHsyaEqbW2AYefY796HY4DlK9OR3OB9lJ&#10;bfR7W3exR6clsLtse/+c+SOgVMaShba7kk3d/GkZsVJK6ik9A84BSRmAJPo7wpO0svUdGuZtN8nB&#10;8UsJ2CsW4g3zGF1UiOWO1/g0yqJs20uUtNZ//dd58sdEwUrJDqsASr5smBeUqHcGszYeDIeAjVkZ&#10;no7QQuKPLatji9nohUU7BnhGHM9i8o/qXmy81Z/xBsxTVJiY4Yjdkd8ri9itKF4RLubz7IZ9cSxe&#10;mVvHE3hqv7HzTbSNzGPywE5PGjYm96Df7rSSx3r2enjRZn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FgAAAGRycy9QSwECFAAUAAAACACH&#10;TuJAlrhwedgAAAAJAQAADwAAAAAAAAABACAAAAA4AAAAZHJzL2Rvd25yZXYueG1sUEsBAhQAFAAA&#10;AAgAh07iQJtw7FyEAgAAGQUAAA4AAAAAAAAAAQAgAAAAPQEAAGRycy9lMm9Eb2MueG1sUEsFBgAA&#10;AAAGAAYAWQEAADMGAAAAAA==&#10;">
                      <v:fill on="t" focussize="0,0"/>
                      <v:stroke weight="1pt" color="#2E54A1 [2404]" miterlimit="8" joinstyle="miter"/>
                      <v:imagedata o:title=""/>
                      <o:lock v:ext="edit" aspectratio="f"/>
                    </v:rect>
                  </w:pict>
                </mc:Fallback>
              </mc:AlternateContent>
            </w: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89984" behindDoc="0" locked="0" layoutInCell="1" allowOverlap="1">
                      <wp:simplePos x="0" y="0"/>
                      <wp:positionH relativeFrom="column">
                        <wp:posOffset>2982595</wp:posOffset>
                      </wp:positionH>
                      <wp:positionV relativeFrom="paragraph">
                        <wp:posOffset>87630</wp:posOffset>
                      </wp:positionV>
                      <wp:extent cx="220980" cy="121920"/>
                      <wp:effectExtent l="6350" t="6350" r="20320" b="24130"/>
                      <wp:wrapNone/>
                      <wp:docPr id="129" name="矩形 129"/>
                      <wp:cNvGraphicFramePr/>
                      <a:graphic xmlns:a="http://schemas.openxmlformats.org/drawingml/2006/main">
                        <a:graphicData uri="http://schemas.microsoft.com/office/word/2010/wordprocessingShape">
                          <wps:wsp>
                            <wps:cNvSpPr/>
                            <wps:spPr>
                              <a:xfrm>
                                <a:off x="0" y="0"/>
                                <a:ext cx="220980" cy="121920"/>
                              </a:xfrm>
                              <a:prstGeom prst="rect">
                                <a:avLst/>
                              </a:prstGeom>
                              <a:solidFill>
                                <a:srgbClr val="FFFF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4.85pt;margin-top:6.9pt;height:9.6pt;width:17.4pt;z-index:251689984;v-text-anchor:middle;mso-width-relative:page;mso-height-relative:page;" fillcolor="#FFFF00" filled="t" stroked="t" coordsize="21600,21600" o:gfxdata="UEsFBgAAAAAAAAAAAAAAAAAAAAAAAFBLAwQKAAAAAACHTuJAAAAAAAAAAAAAAAAABAAAAGRycy9Q&#10;SwMEFAAAAAgAh07iQLULowHYAAAACQEAAA8AAABkcnMvZG93bnJldi54bWxNj0FOwzAQRfdI3MEa&#10;JDaI2m2aQkKcSiCxQaKIlgNMY5NExOMotptye4YVLEf/6c/71fbsBnGyU+g9aVguFAhLjTc9tRo+&#10;Ds+39yBCRDI4eLIavm2AbX15UWFp/Ezv9rSPreASCiVq6GIcSylD01mHYeFHS5x9+slh5HNqpZlw&#10;5nI3yJVSG+mwJ/7Q4WifOtt87ZPTEG7SYRV2Ob0WxWO/e3lLLc5J6+urpXoAEe05/sHwq8/qULPT&#10;0ScyQQwa1pvijlEOMp7AQK7WOYijhixTIOtK/l9Q/wBQSwMEFAAAAAgAh07iQIgAJ4uCAgAAGQUA&#10;AA4AAABkcnMvZTJvRG9jLnhtbK1UzW4TMRC+I/EOlu90k1VKm6ibKmoIQiq0UkGcHa83a8l/2E42&#10;5WWQuPEQPA7iNfjsTZO0cOiBHDZjz/gbf9/M+OJyqxXZCB+kNRUdngwoEYbbWppVRT99XLw6pyRE&#10;ZmqmrBEVvReBXk5fvrjo3ESUtrWqFp4AxIRJ5yraxugmRRF4KzQLJ9YJA2djvWYRS78qas86oGtV&#10;lIPB66KzvnbechECdue9k+4Q/XMAbdNILuaWr7UwsUf1QrEISqGVLtBpvm3TCB5vmiaISFRFwTTm&#10;L5LAXqZvMb1gk5VnrpV8dwX2nCs84aSZNEi6h5qzyMjay7+gtOTeBtvEE2510RPJioDFcPBEm7uW&#10;OZG5QOrg9qKH/wfLP2xuPZE1OqEcU2KYRsl/f/vx6+d3knagT+fCBGF37tbvVgFmIrttvE7/oEG2&#10;WdP7vaZiGwnHZlkOxudQm8M1LIfjMmteHA47H+JbYTVJRkU9SpaVZJvrEJEQoQ8hKVewStYLqVRe&#10;+NXySnmyYSjvAr/BA/qjMGVIl7KfwU04Q9M2aBaY2oF4MCtKmFphGnj0Ofej0+E4SfnmdDQb5iC1&#10;1u9t3ec+Ox0cUvfx+eaPgBKNOQttfyS7+v7TMmKklNQVPQfOHkkZgCT5e8GTtbT1PQrmbd/JwfGF&#10;BOw1C/GWebQuGGK44w0+jbKgbXcWJa31X/+1n+LRUfBS0mEUIMmXNfOCEvXOoNfGw9EIsDEvRqdn&#10;KCHxx57lsces9ZVFOYZ4RhzPZoqP6sFsvNWf8QbMUla4mOHI3Yu/W1zFfkTxinAxm+UwzItj8drc&#10;OZ7AU/mNna2jbWRuk4M6O9EwMbkGu+lOI3m8zlGHF236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AkFAABbQ29udGVudF9UeXBlc10ueG1sUEsB&#10;AhQACgAAAAAAh07iQAAAAAAAAAAAAAAAAAYAAAAAAAAAAAAQAAAA6wMAAF9yZWxzL1BLAQIUABQA&#10;AAAIAIdO4kCKFGY80QAAAJQBAAALAAAAAAAAAAEAIAAAAA8EAABfcmVscy8ucmVsc1BLAQIUAAoA&#10;AAAAAIdO4kAAAAAAAAAAAAAAAAAEAAAAAAAAAAAAEAAAABYAAABkcnMvUEsBAhQAFAAAAAgAh07i&#10;QLULowHYAAAACQEAAA8AAAAAAAAAAQAgAAAAOAAAAGRycy9kb3ducmV2LnhtbFBLAQIUABQAAAAI&#10;AIdO4kCIACeLggIAABkFAAAOAAAAAAAAAAEAIAAAAD0BAABkcnMvZTJvRG9jLnhtbFBLBQYAAAAA&#10;BgAGAFkBAAAxBgAAAAA=&#10;">
                      <v:fill on="t" focussize="0,0"/>
                      <v:stroke weight="1pt" color="#2E54A1 [2404]" miterlimit="8" joinstyle="miter"/>
                      <v:imagedata o:title=""/>
                      <o:lock v:ext="edit" aspectratio="f"/>
                    </v:rect>
                  </w:pict>
                </mc:Fallback>
              </mc:AlternateContent>
            </w: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88960" behindDoc="0" locked="0" layoutInCell="1" allowOverlap="1">
                      <wp:simplePos x="0" y="0"/>
                      <wp:positionH relativeFrom="column">
                        <wp:posOffset>1793875</wp:posOffset>
                      </wp:positionH>
                      <wp:positionV relativeFrom="paragraph">
                        <wp:posOffset>87630</wp:posOffset>
                      </wp:positionV>
                      <wp:extent cx="220980" cy="121920"/>
                      <wp:effectExtent l="6350" t="6350" r="20320" b="24130"/>
                      <wp:wrapNone/>
                      <wp:docPr id="130" name="矩形 130"/>
                      <wp:cNvGraphicFramePr/>
                      <a:graphic xmlns:a="http://schemas.openxmlformats.org/drawingml/2006/main">
                        <a:graphicData uri="http://schemas.microsoft.com/office/word/2010/wordprocessingShape">
                          <wps:wsp>
                            <wps:cNvSpPr/>
                            <wps:spPr>
                              <a:xfrm>
                                <a:off x="0" y="0"/>
                                <a:ext cx="220980" cy="121920"/>
                              </a:xfrm>
                              <a:prstGeom prst="rect">
                                <a:avLst/>
                              </a:prstGeom>
                              <a:solidFill>
                                <a:srgbClr val="FFC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41.25pt;margin-top:6.9pt;height:9.6pt;width:17.4pt;z-index:251688960;v-text-anchor:middle;mso-width-relative:page;mso-height-relative:page;" fillcolor="#FFC000" filled="t" stroked="t" coordsize="21600,21600" o:gfxdata="UEsFBgAAAAAAAAAAAAAAAAAAAAAAAFBLAwQKAAAAAACHTuJAAAAAAAAAAAAAAAAABAAAAGRycy9Q&#10;SwMEFAAAAAgAh07iQPIKdpHaAAAACQEAAA8AAABkcnMvZG93bnJldi54bWxNj81OwzAQhO9IvIO1&#10;SNyonYTSKsTpAYQQoiBo+RE3N16SQLyOYjdt357lBLcdzafZmWKxd50YcQitJw3JRIFAqrxtqdbw&#10;sr45m4MI0ZA1nSfUcMAAi/L4qDC59Tt6xnEVa8EhFHKjoYmxz6UMVYPOhInvkdj79IMzkeVQSzuY&#10;HYe7TqZKXUhnWuIPjenxqsHqe7V1Gu49jQ/Lw/Lxbvpx+4pv3fX50/uX1qcniboEEXEf/2D4rc/V&#10;oeROG78lG0SnIZ2nU0bZyHgCA1kyy0Bs+MgUyLKQ/xeUP1BLAwQUAAAACACHTuJAeqVgl4ICAAAZ&#10;BQAADgAAAGRycy9lMm9Eb2MueG1srVTNbhMxEL4j8Q6W73SzS0rbqEkVJQQhFVqpIM6O15u15D9s&#10;56e8DFJvPASPg3gNPnu3aVo49MBld+wZf+PvmxmfX+y0Ihvhg7RmTMujASXCcFtLsxrTz58Wr04p&#10;CZGZmilrxJjeikAvJi9fnG/dSFS2taoWngDEhNHWjWkboxsVReCt0CwcWScMnI31mkUs/aqoPdsC&#10;XauiGgzeFFvra+ctFyFgd945aY/onwNom0ZyMbd8rYWJHaoXikVQCq10gU7ybZtG8HjVNEFEosYU&#10;TGP+IgnsZfoWk3M2WnnmWsn7K7DnXOEJJ82kQdI91JxFRtZe/gWlJfc22CYecauLjkhWBCzKwRNt&#10;blrmROYCqYPbix7+Hyz/uLn2RNbohNfQxDCNkv/+/uPXzzuSdqDP1oURwm7cte9XAWYiu2u8Tn/Q&#10;ILus6e1eU7GLhGOzqgZnp0DmcJVVeVZlzOLhsPMhvhNWk2SMqUfJspJscxkiEiL0PiTlClbJeiGV&#10;ygu/Ws6UJxuG8i4Ws8HgHv1RmDJkm7KfwE04Q9M2aBaY2oF4MCtKmFphGnj0Ofej0+EwSfX2eDgt&#10;c5Ba6w+27nKfHB+k7uLzzR8BJRpzFtruSHZ1/adlxEgpqcf0FDh7EsoAJMnfCZ6spa1vUTBvu04O&#10;ji8kYC9ZiNfMo3XBEMMdr/BplAVt21uUtNZ/+9d+ikdHwUvJFqMASb6umReUqPcGvXZWDoeAjXkx&#10;PD5BCYk/9CwPPWatZxblKPGMOJ7NFB/Vvdl4q7/gDZimrHAxw5G7E79fzGI3onhFuJhOcxjmxbF4&#10;aW4cT+Cp/MZO19E2MrfJgzq9aJiYXIN+utNIHq5z1MOLNvk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CwUAAFtDb250ZW50X1R5cGVzXS54bWxQ&#10;SwECFAAKAAAAAACHTuJAAAAAAAAAAAAAAAAABgAAAAAAAAAAABAAAADtAwAAX3JlbHMvUEsBAhQA&#10;FAAAAAgAh07iQIoUZjzRAAAAlAEAAAsAAAAAAAAAAQAgAAAAEQQAAF9yZWxzLy5yZWxzUEsBAhQA&#10;CgAAAAAAh07iQAAAAAAAAAAAAAAAAAQAAAAAAAAAAAAQAAAAFgAAAGRycy9QSwECFAAUAAAACACH&#10;TuJA8gp2kdoAAAAJAQAADwAAAAAAAAABACAAAAA4AAAAZHJzL2Rvd25yZXYueG1sUEsBAhQAFAAA&#10;AAgAh07iQHqlYJeCAgAAGQUAAA4AAAAAAAAAAQAgAAAAPwEAAGRycy9lMm9Eb2MueG1sUEsFBgAA&#10;AAAGAAYAWQEAADMGAAAAAA==&#10;">
                      <v:fill on="t" focussize="0,0"/>
                      <v:stroke weight="1pt" color="#2E54A1 [2404]" miterlimit="8" joinstyle="miter"/>
                      <v:imagedata o:title=""/>
                      <o:lock v:ext="edit" aspectratio="f"/>
                    </v:rect>
                  </w:pict>
                </mc:Fallback>
              </mc:AlternateContent>
            </w:r>
            <w:r>
              <w:rPr>
                <w:rFonts w:hint="default" w:ascii="Times New Roman" w:hAnsi="Times New Roman" w:cs="Times New Roman"/>
                <w:color w:val="000000" w:themeColor="text1"/>
                <w:sz w:val="21"/>
                <w:lang w:val="en-US" w:eastAsia="zh-CN" w:bidi="ar-SA"/>
                <w14:textFill>
                  <w14:solidFill>
                    <w14:schemeClr w14:val="tx1"/>
                  </w14:solidFill>
                </w14:textFill>
              </w:rPr>
              <mc:AlternateContent>
                <mc:Choice Requires="wps">
                  <w:drawing>
                    <wp:anchor distT="0" distB="0" distL="114300" distR="114300" simplePos="0" relativeHeight="251687936" behindDoc="0" locked="0" layoutInCell="1" allowOverlap="1">
                      <wp:simplePos x="0" y="0"/>
                      <wp:positionH relativeFrom="column">
                        <wp:posOffset>513715</wp:posOffset>
                      </wp:positionH>
                      <wp:positionV relativeFrom="paragraph">
                        <wp:posOffset>87630</wp:posOffset>
                      </wp:positionV>
                      <wp:extent cx="220980" cy="121920"/>
                      <wp:effectExtent l="6350" t="6350" r="20320" b="24130"/>
                      <wp:wrapNone/>
                      <wp:docPr id="131" name="矩形 131"/>
                      <wp:cNvGraphicFramePr/>
                      <a:graphic xmlns:a="http://schemas.openxmlformats.org/drawingml/2006/main">
                        <a:graphicData uri="http://schemas.microsoft.com/office/word/2010/wordprocessingShape">
                          <wps:wsp>
                            <wps:cNvSpPr/>
                            <wps:spPr>
                              <a:xfrm>
                                <a:off x="1656715" y="3727450"/>
                                <a:ext cx="220980" cy="121920"/>
                              </a:xfrm>
                              <a:prstGeom prst="rect">
                                <a:avLst/>
                              </a:prstGeom>
                              <a:solidFill>
                                <a:srgbClr val="FF0000"/>
                              </a:solidFill>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0.45pt;margin-top:6.9pt;height:9.6pt;width:17.4pt;z-index:251687936;v-text-anchor:middle;mso-width-relative:page;mso-height-relative:page;" fillcolor="#FF0000" filled="t" stroked="t" coordsize="21600,21600" o:gfxdata="UEsFBgAAAAAAAAAAAAAAAAAAAAAAAFBLAwQKAAAAAACHTuJAAAAAAAAAAAAAAAAABAAAAGRycy9Q&#10;SwMEFAAAAAgAh07iQO6R4OLYAAAACAEAAA8AAABkcnMvZG93bnJldi54bWxNj81OwzAQhO9IvIO1&#10;SFwQtdMQ2oY4lUCCG4e2KOpxEy9JRGxHsfsDT8/2BMedGc1+U6zPdhBHmkLvnYZkpkCQa7zpXavh&#10;Y/d6vwQRIjqDg3ek4ZsCrMvrqwJz409uQ8dtbAWXuJCjhi7GMZcyNB1ZDDM/kmPv008WI59TK82E&#10;Jy63g5wr9Sgt9o4/dDjSS0fN1/ZgNdj3enE37TPEn3lVVckue357yLS+vUnUE4hI5/gXhgs+o0PJ&#10;TLU/OBPEoGGpVpxkPeUFFz/JFiBqDWmqQJaF/D+g/AVQSwMEFAAAAAgAh07iQDVYMyOQAgAAJQUA&#10;AA4AAABkcnMvZTJvRG9jLnhtbK1US27bMBDdF+gdCO4bWYodJ0bkwIjrokDaBEiLrmmKsgTwV5L+&#10;pJcp0F0P0eMUvUYfKSV2ki6yqBf0UDN8w/dmhucXOyXJRjjfGl3S/GhAidDcVK1elfTzp8WbU0p8&#10;YLpi0mhR0jvh6cX09avzrZ2IwjRGVsIRgGg/2dqSNiHYSZZ53gjF/JGxQsNZG6dYwNatssqxLdCV&#10;zIrB4CTbGldZZ7jwHl/nnZP2iO4lgKauWy7mhq+V0KFDdUKyAEq+aa2n03TbuhY8XNe1F4HIkoJp&#10;SCuSwF7GNZues8nKMdu0vL8Ce8kVnnBSrNVI+gA1Z4GRtWufQamWO+NNHY64UVlHJCkCFvngiTa3&#10;DbMicYHU3j6I7v8fLP+4uXGkrdAJxzklmimU/M/3n79//SDxC/TZWj9B2K29cf3Ow4xkd7VT8R80&#10;yA4IJ6OTcT6i5K6kx+NiPBz1+opdIBwBRTE4O4XyHAF5kZ8VyZ/tgazz4Z0wikSjpA7lS6qyzZUP&#10;SI7Q+5CY1xvZVotWyrRxq+WldGTDUOrFYoBfvD2OPAqTmmxj9jHchDM0cI3GgaksRPB6RQmTK0wG&#10;Dy7lfnTaHyYp3o6GszwFybX6YKou93h0kLqLf36NSGPOfNMdSTm6XlRtwHjJVpX0NHK4JyE1QGIp&#10;OvGjtTTVHYrnTNfV3vJFC9gr5sMNc2hjMMSgh2sstTSgbXqLksa4b//6HuPRXfBSssVYQJKva+YE&#10;JfK9Rt+d5cMhYEPaDEdjlJC4Q8/y0KPX6tKgHOgs3C6ZMT7Ie7N2Rn3BezCLWeFimiN3J36/uQzd&#10;uOJF4WI2S2GYHcvClb61PILH8mszWwdTt6lN9ur0omF6Ug36SY/jebhPUfvXbfo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FwUAAFtDb250ZW50&#10;X1R5cGVzXS54bWxQSwECFAAKAAAAAACHTuJAAAAAAAAAAAAAAAAABgAAAAAAAAAAABAAAAD5AwAA&#10;X3JlbHMvUEsBAhQAFAAAAAgAh07iQIoUZjzRAAAAlAEAAAsAAAAAAAAAAQAgAAAAHQQAAF9yZWxz&#10;Ly5yZWxzUEsBAhQACgAAAAAAh07iQAAAAAAAAAAAAAAAAAQAAAAAAAAAAAAQAAAAFgAAAGRycy9Q&#10;SwECFAAUAAAACACHTuJA7pHg4tgAAAAIAQAADwAAAAAAAAABACAAAAA4AAAAZHJzL2Rvd25yZXYu&#10;eG1sUEsBAhQAFAAAAAgAh07iQDVYMyOQAgAAJQUAAA4AAAAAAAAAAQAgAAAAPQEAAGRycy9lMm9E&#10;b2MueG1sUEsFBgAAAAAGAAYAWQEAAD8GAAAAAA==&#10;">
                      <v:fill on="t" focussize="0,0"/>
                      <v:stroke weight="1pt" color="#2E54A1 [2404]" miterlimit="8" joinstyle="miter"/>
                      <v:imagedata o:title=""/>
                      <o:lock v:ext="edit" aspectratio="f"/>
                    </v:rect>
                  </w:pict>
                </mc:Fallback>
              </mc:AlternateConten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图例：      极高风险（红）；   高风险（橙）；    中风险（黄）；   低风险（蓝）</w:t>
            </w:r>
          </w:p>
        </w:tc>
      </w:tr>
    </w:tbl>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说明：评级结果为无颜色区域的风险点，危险源不列入清单管理。</w:t>
      </w:r>
    </w:p>
    <w:p>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br w:type="page"/>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sectPr>
          <w:footerReference r:id="rId5" w:type="default"/>
          <w:pgSz w:w="11906" w:h="16838"/>
          <w:pgMar w:top="1440" w:right="1800" w:bottom="1440" w:left="1800" w:header="851" w:footer="992" w:gutter="0"/>
          <w:pgNumType w:start="1"/>
          <w:cols w:space="425" w:num="1"/>
          <w:docGrid w:type="lines" w:linePitch="312" w:charSpace="0"/>
        </w:sectPr>
      </w:pPr>
    </w:p>
    <w:p>
      <w:pPr>
        <w:spacing w:line="360" w:lineRule="auto"/>
        <w:ind w:firstLine="42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表4 风险点危险源排查管控清单</w:t>
      </w:r>
    </w:p>
    <w:p>
      <w:pPr>
        <w:spacing w:line="360" w:lineRule="auto"/>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4"/>
        <w:gridCol w:w="736"/>
        <w:gridCol w:w="431"/>
        <w:gridCol w:w="666"/>
        <w:gridCol w:w="738"/>
        <w:gridCol w:w="773"/>
        <w:gridCol w:w="702"/>
        <w:gridCol w:w="1608"/>
        <w:gridCol w:w="636"/>
        <w:gridCol w:w="740"/>
        <w:gridCol w:w="740"/>
        <w:gridCol w:w="740"/>
        <w:gridCol w:w="740"/>
        <w:gridCol w:w="740"/>
        <w:gridCol w:w="740"/>
        <w:gridCol w:w="740"/>
        <w:gridCol w:w="740"/>
        <w:gridCol w:w="740"/>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484" w:type="dxa"/>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序号</w:t>
            </w:r>
          </w:p>
        </w:tc>
        <w:tc>
          <w:tcPr>
            <w:tcW w:w="736" w:type="dxa"/>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作业</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单元</w:t>
            </w:r>
          </w:p>
        </w:tc>
        <w:tc>
          <w:tcPr>
            <w:tcW w:w="431" w:type="dxa"/>
            <w:vMerge w:val="restart"/>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填报日期</w:t>
            </w:r>
          </w:p>
        </w:tc>
        <w:tc>
          <w:tcPr>
            <w:tcW w:w="4487" w:type="dxa"/>
            <w:gridSpan w:val="5"/>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风险点、危险源名称和类别</w:t>
            </w:r>
          </w:p>
        </w:tc>
        <w:tc>
          <w:tcPr>
            <w:tcW w:w="3596" w:type="dxa"/>
            <w:gridSpan w:val="5"/>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风险点危险源所在位置</w:t>
            </w:r>
          </w:p>
        </w:tc>
        <w:tc>
          <w:tcPr>
            <w:tcW w:w="2220" w:type="dxa"/>
            <w:gridSpan w:val="3"/>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风险点危险源所属</w:t>
            </w:r>
          </w:p>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部门</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主管部门单位</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风险等级</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管控措施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vMerge w:val="continue"/>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36" w:type="dxa"/>
            <w:vMerge w:val="continue"/>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31" w:type="dxa"/>
            <w:vMerge w:val="continue"/>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类别</w:t>
            </w:r>
          </w:p>
        </w:tc>
        <w:tc>
          <w:tcPr>
            <w:tcW w:w="73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分类名称</w:t>
            </w:r>
          </w:p>
        </w:tc>
        <w:tc>
          <w:tcPr>
            <w:tcW w:w="773"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具体名称</w:t>
            </w:r>
          </w:p>
        </w:tc>
        <w:tc>
          <w:tcPr>
            <w:tcW w:w="702"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风险特征描述</w:t>
            </w:r>
          </w:p>
        </w:tc>
        <w:tc>
          <w:tcPr>
            <w:tcW w:w="1608" w:type="dxa"/>
            <w:vAlign w:val="center"/>
          </w:tcPr>
          <w:p>
            <w:pPr>
              <w:keepNext w:val="0"/>
              <w:keepLines w:val="0"/>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潜在风险</w:t>
            </w:r>
          </w:p>
        </w:tc>
        <w:tc>
          <w:tcPr>
            <w:tcW w:w="6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省、市</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县/区</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镇/街道</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详细地址</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坐标</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部门/项目名称</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负责人</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联系电话</w:t>
            </w: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w:t>
            </w:r>
          </w:p>
        </w:tc>
        <w:tc>
          <w:tcPr>
            <w:tcW w:w="7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31"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3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73"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02"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60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7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31"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3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73"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02"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60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4"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7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31"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6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3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73"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02"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608"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636"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40" w:type="dxa"/>
          </w:tcPr>
          <w:p>
            <w:pPr>
              <w:keepNext w:val="0"/>
              <w:keepLines w:val="0"/>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bl>
    <w:p>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填写说明：</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1.作业单元：请按项目、部门或单位填写。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2.类别：请按内业类、外业类填写。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3.分类名称：内业类请按：消防安全；用电安全；用气安全；环境安全等填写。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外业类请按：城镇、农村地区；铁路、公路区域；滩涂地区；人烟稀少地区或草原、林区、山区；涉水作业；海域作业；隧道测量；其他区域（地铁作业、机场作业、文物测绘）；应急测绘；无人机测量；航空测量、移动测量、精密工程测量等填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4.具体名称：指具体风险点位置点名称。</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5.风险特征描述：参考《企业职工伤亡事故分类》（GB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6441-1986)描述，如未能全部包含测绘行业的事故分类的，请自行增加，同时在表中进行说明。</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6.潜在风险：请填写风险点、危险源的具体信息、参数，发生事故时可能的影响、影响人数、可能的财产损失、环境影响、社会影响等关键数据。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7.坐标：请填写风险源危险点中心的2000国家大地坐标或WGS-84坐标数据，不得填写极坐标、1954年北京坐标系的数据。</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8.风险等级：请按红色、橙色、黄色、蓝色填写。</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9.管控措施：一般填写以下内容：单位管控措施、部门（项目）管控措施、应急措施等。</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br w:type="page"/>
      </w:r>
    </w:p>
    <w:p>
      <w:pPr>
        <w:jc w:val="center"/>
        <w:rPr>
          <w:rFonts w:hint="default" w:ascii="Times New Roman" w:hAnsi="Times New Roman" w:cs="Times New Roman"/>
          <w:color w:val="000000" w:themeColor="text1"/>
          <w:lang w:val="en-US" w:eastAsia="zh-CN"/>
          <w14:textFill>
            <w14:solidFill>
              <w14:schemeClr w14:val="tx1"/>
            </w14:solidFill>
          </w14:textFill>
        </w:rPr>
        <w:sectPr>
          <w:type w:val="continuous"/>
          <w:pgSz w:w="16838" w:h="11906" w:orient="landscape"/>
          <w:pgMar w:top="1800" w:right="1440" w:bottom="1800" w:left="1440" w:header="851" w:footer="992" w:gutter="0"/>
          <w:cols w:space="425" w:num="1"/>
          <w:docGrid w:type="lines" w:linePitch="312" w:charSpace="0"/>
        </w:sectPr>
      </w:pPr>
    </w:p>
    <w:p>
      <w:pPr>
        <w:numPr>
          <w:ilvl w:val="0"/>
          <w:numId w:val="1"/>
        </w:numPr>
        <w:spacing w:line="360" w:lineRule="auto"/>
        <w:ind w:firstLine="562" w:firstLineChars="200"/>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安全风险管控评估报告编制指引</w:t>
      </w:r>
    </w:p>
    <w:p>
      <w:pPr>
        <w:numPr>
          <w:ilvl w:val="255"/>
          <w:numId w:val="0"/>
        </w:numPr>
        <w:spacing w:line="360" w:lineRule="auto"/>
        <w:rPr>
          <w:rFonts w:hint="default" w:ascii="Times New Roman" w:hAnsi="Times New Roman" w:eastAsia="黑体" w:cs="Times New Roman"/>
          <w:b/>
          <w:color w:val="000000" w:themeColor="text1"/>
          <w:sz w:val="28"/>
          <w:szCs w:val="28"/>
          <w:lang w:val="en-US" w:eastAsia="zh-CN"/>
          <w14:textFill>
            <w14:solidFill>
              <w14:schemeClr w14:val="tx1"/>
            </w14:solidFill>
          </w14:textFill>
        </w:rPr>
      </w:pPr>
    </w:p>
    <w:p>
      <w:pPr>
        <w:numPr>
          <w:ilvl w:val="255"/>
          <w:numId w:val="0"/>
        </w:numPr>
        <w:spacing w:line="360" w:lineRule="auto"/>
        <w:jc w:val="center"/>
        <w:rPr>
          <w:rFonts w:hint="default" w:ascii="Times New Roman" w:hAnsi="Times New Roman" w:eastAsia="宋体" w:cs="Times New Roman"/>
          <w:color w:val="000000" w:themeColor="text1"/>
          <w:sz w:val="52"/>
          <w:szCs w:val="52"/>
          <w:lang w:val="en-US" w:eastAsia="zh-CN"/>
          <w14:textFill>
            <w14:solidFill>
              <w14:schemeClr w14:val="tx1"/>
            </w14:solidFill>
          </w14:textFill>
        </w:rPr>
      </w:pPr>
    </w:p>
    <w:p>
      <w:pPr>
        <w:numPr>
          <w:ilvl w:val="255"/>
          <w:numId w:val="0"/>
        </w:numPr>
        <w:spacing w:line="360" w:lineRule="auto"/>
        <w:jc w:val="center"/>
        <w:rPr>
          <w:rFonts w:hint="default" w:ascii="Times New Roman" w:hAnsi="Times New Roman" w:eastAsia="黑体" w:cs="Times New Roman"/>
          <w:b/>
          <w:bCs/>
          <w:color w:val="000000" w:themeColor="text1"/>
          <w:sz w:val="52"/>
          <w:szCs w:val="52"/>
          <w:lang w:val="en-US" w:eastAsia="zh-CN"/>
          <w14:textFill>
            <w14:solidFill>
              <w14:schemeClr w14:val="tx1"/>
            </w14:solidFill>
          </w14:textFill>
        </w:rPr>
      </w:pPr>
      <w:r>
        <w:rPr>
          <w:rFonts w:hint="default" w:ascii="Times New Roman" w:hAnsi="Times New Roman" w:eastAsia="黑体" w:cs="Times New Roman"/>
          <w:b/>
          <w:bCs/>
          <w:color w:val="000000" w:themeColor="text1"/>
          <w:sz w:val="52"/>
          <w:szCs w:val="52"/>
          <w:lang w:val="en-US" w:eastAsia="zh-CN"/>
          <w14:textFill>
            <w14:solidFill>
              <w14:schemeClr w14:val="tx1"/>
            </w14:solidFill>
          </w14:textFill>
        </w:rPr>
        <w:t>XXX单位安全风险管控</w:t>
      </w:r>
    </w:p>
    <w:p>
      <w:pPr>
        <w:numPr>
          <w:ilvl w:val="255"/>
          <w:numId w:val="0"/>
        </w:numPr>
        <w:spacing w:line="360" w:lineRule="auto"/>
        <w:jc w:val="center"/>
        <w:rPr>
          <w:rFonts w:hint="default" w:ascii="Times New Roman" w:hAnsi="Times New Roman" w:eastAsia="黑体" w:cs="Times New Roman"/>
          <w:b/>
          <w:bCs/>
          <w:color w:val="000000" w:themeColor="text1"/>
          <w:sz w:val="72"/>
          <w:szCs w:val="72"/>
          <w:lang w:val="en-US" w:eastAsia="zh-CN"/>
          <w14:textFill>
            <w14:solidFill>
              <w14:schemeClr w14:val="tx1"/>
            </w14:solidFill>
          </w14:textFill>
        </w:rPr>
      </w:pPr>
      <w:r>
        <w:rPr>
          <w:rFonts w:hint="default" w:ascii="Times New Roman" w:hAnsi="Times New Roman" w:eastAsia="黑体" w:cs="Times New Roman"/>
          <w:b/>
          <w:bCs/>
          <w:color w:val="000000" w:themeColor="text1"/>
          <w:sz w:val="72"/>
          <w:szCs w:val="72"/>
          <w:lang w:val="en-US" w:eastAsia="zh-CN"/>
          <w14:textFill>
            <w14:solidFill>
              <w14:schemeClr w14:val="tx1"/>
            </w14:solidFill>
          </w14:textFill>
        </w:rPr>
        <w:t>评估报告</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编制单位：XXXX</w:t>
      </w: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日期：XXXX年XX月XX日</w:t>
      </w: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jc w:val="cente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安全风险管控评估报告的基本框架需包含：封面（注明编制单位名称）、目录、摘要、正文和附件等五个部分内容。其中，正文内容应包括但不限于以下几个方面：</w:t>
      </w:r>
    </w:p>
    <w:p>
      <w:pPr>
        <w:widowControl/>
        <w:numPr>
          <w:ilvl w:val="0"/>
          <w:numId w:val="2"/>
        </w:numPr>
        <w:ind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编制依据</w:t>
      </w:r>
    </w:p>
    <w:p>
      <w:pPr>
        <w:widowControl/>
        <w:numPr>
          <w:ilvl w:val="255"/>
          <w:numId w:val="0"/>
        </w:numPr>
        <w:ind w:left="420" w:leftChars="200"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1.1相应的国家和行业标准、规范及规定；</w:t>
      </w:r>
    </w:p>
    <w:p>
      <w:pPr>
        <w:widowControl/>
        <w:numPr>
          <w:ilvl w:val="255"/>
          <w:numId w:val="0"/>
        </w:numPr>
        <w:ind w:left="420" w:leftChars="200"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1.2广东省或行业基础性资料；</w:t>
      </w:r>
    </w:p>
    <w:p>
      <w:pPr>
        <w:widowControl/>
        <w:numPr>
          <w:ilvl w:val="0"/>
          <w:numId w:val="2"/>
        </w:numPr>
        <w:ind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单位或项目（部门）概况。</w:t>
      </w:r>
    </w:p>
    <w:p>
      <w:pPr>
        <w:widowControl/>
        <w:numPr>
          <w:ilvl w:val="0"/>
          <w:numId w:val="2"/>
        </w:numPr>
        <w:ind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辨识和风险等级评估流程。</w:t>
      </w:r>
    </w:p>
    <w:p>
      <w:pPr>
        <w:widowControl/>
        <w:numPr>
          <w:ilvl w:val="0"/>
          <w:numId w:val="2"/>
        </w:numPr>
        <w:ind w:firstLine="640" w:firstLineChars="2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风险辨识和风险等级评估具体内容。</w:t>
      </w:r>
    </w:p>
    <w:p>
      <w:pPr>
        <w:widowControl/>
        <w:numPr>
          <w:ilvl w:val="255"/>
          <w:numId w:val="0"/>
        </w:numPr>
        <w:ind w:firstLine="960" w:firstLineChars="3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4.1红、橙、黄、蓝四级风险点危险源数量和清单的确定，具体清单可以作为附件；</w:t>
      </w:r>
    </w:p>
    <w:p>
      <w:pPr>
        <w:widowControl/>
        <w:numPr>
          <w:ilvl w:val="255"/>
          <w:numId w:val="0"/>
        </w:numPr>
        <w:ind w:firstLine="960" w:firstLineChars="30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4.2 每一种类中的每一级别风险点危险源管控措施及管控责任单位的确定；</w:t>
      </w:r>
    </w:p>
    <w:p>
      <w:pPr>
        <w:widowControl/>
        <w:numPr>
          <w:ilvl w:val="255"/>
          <w:numId w:val="0"/>
        </w:numPr>
        <w:ind w:firstLine="64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5. 风险辨识和风险等级评估结论。</w:t>
      </w:r>
    </w:p>
    <w:p>
      <w:pPr>
        <w:keepNext w:val="0"/>
        <w:keepLines w:val="0"/>
        <w:pageBreakBefore w:val="0"/>
        <w:widowControl/>
        <w:numPr>
          <w:ilvl w:val="255"/>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5.1 红、橙、黄、蓝四级风险点危险源的汇总、统计与分析；</w:t>
      </w:r>
    </w:p>
    <w:p>
      <w:pPr>
        <w:keepNext w:val="0"/>
        <w:keepLines w:val="0"/>
        <w:pageBreakBefore w:val="0"/>
        <w:widowControl/>
        <w:numPr>
          <w:ilvl w:val="255"/>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5.2 风险评估结果的科学性、可行性、合理性及存在问题；</w:t>
      </w:r>
    </w:p>
    <w:p>
      <w:pPr>
        <w:keepNext w:val="0"/>
        <w:keepLines w:val="0"/>
        <w:pageBreakBefore w:val="0"/>
        <w:widowControl/>
        <w:numPr>
          <w:ilvl w:val="255"/>
          <w:numId w:val="0"/>
        </w:numPr>
        <w:kinsoku/>
        <w:wordWrap/>
        <w:overflowPunct/>
        <w:topLinePunct w:val="0"/>
        <w:autoSpaceDE/>
        <w:autoSpaceDN/>
        <w:bidi w:val="0"/>
        <w:adjustRightInd/>
        <w:snapToGrid/>
        <w:ind w:firstLine="640" w:firstLineChars="200"/>
        <w:jc w:val="both"/>
        <w:textAlignment w:val="auto"/>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5.3 针对存在的问题提出风险管控措施及建议。</w:t>
      </w:r>
    </w:p>
    <w:p>
      <w:pPr>
        <w:widowControl/>
        <w:numPr>
          <w:ilvl w:val="255"/>
          <w:numId w:val="0"/>
        </w:numPr>
        <w:ind w:firstLine="640"/>
        <w:jc w:val="both"/>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6. 其他需要说明的问题。</w:t>
      </w: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p>
    <w:p>
      <w:pPr>
        <w:pStyle w:val="2"/>
        <w:rPr>
          <w:rFonts w:hint="default" w:ascii="Times New Roman" w:hAnsi="Times New Roman" w:cs="Times New Roman"/>
          <w:color w:val="000000" w:themeColor="text1"/>
          <w:lang w:val="en-US" w:eastAsia="zh-CN"/>
          <w14:textFill>
            <w14:solidFill>
              <w14:schemeClr w14:val="tx1"/>
            </w14:solidFill>
          </w14:textFill>
        </w:rPr>
      </w:pPr>
      <w:bookmarkStart w:id="761" w:name="_Toc31098"/>
      <w:bookmarkStart w:id="762" w:name="_Toc22495"/>
      <w:bookmarkStart w:id="763" w:name="_Toc8547"/>
      <w:bookmarkStart w:id="764" w:name="_Toc19446"/>
      <w:bookmarkStart w:id="765" w:name="_Toc32302"/>
      <w:r>
        <w:rPr>
          <w:rFonts w:hint="default" w:ascii="Times New Roman" w:hAnsi="Times New Roman" w:cs="Times New Roman"/>
          <w:color w:val="000000" w:themeColor="text1"/>
          <w:lang w:val="en-US" w:eastAsia="zh-CN"/>
          <w14:textFill>
            <w14:solidFill>
              <w14:schemeClr w14:val="tx1"/>
            </w14:solidFill>
          </w14:textFill>
        </w:rPr>
        <w:br w:type="column"/>
      </w:r>
      <w:r>
        <w:rPr>
          <w:rFonts w:hint="default" w:ascii="Times New Roman" w:hAnsi="Times New Roman" w:cs="Times New Roman"/>
          <w:color w:val="000000" w:themeColor="text1"/>
          <w:lang w:val="en-US" w:eastAsia="zh-CN"/>
          <w14:textFill>
            <w14:solidFill>
              <w14:schemeClr w14:val="tx1"/>
            </w14:solidFill>
          </w14:textFill>
        </w:rPr>
        <w:t>附录K 事故隐患排查治理参考做法</w:t>
      </w:r>
      <w:bookmarkEnd w:id="761"/>
      <w:bookmarkEnd w:id="762"/>
      <w:bookmarkEnd w:id="763"/>
      <w:bookmarkEnd w:id="764"/>
      <w:bookmarkEnd w:id="765"/>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录K</w:t>
      </w:r>
    </w:p>
    <w:p>
      <w:pPr>
        <w:jc w:val="center"/>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ind w:firstLine="2319" w:firstLineChars="11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事故隐患排查治理参考做法</w:t>
      </w:r>
    </w:p>
    <w:p>
      <w:pPr>
        <w:numPr>
          <w:ilvl w:val="255"/>
          <w:numId w:val="0"/>
        </w:numPr>
        <w:spacing w:line="360" w:lineRule="auto"/>
        <w:ind w:firstLine="562" w:firstLineChars="200"/>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 xml:space="preserve">一、事故隐患排查治理流程 </w:t>
      </w:r>
    </w:p>
    <w:p>
      <w:pPr>
        <w:numPr>
          <w:ilvl w:val="255"/>
          <w:numId w:val="0"/>
        </w:num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2032" behindDoc="0" locked="0" layoutInCell="1" allowOverlap="1">
                <wp:simplePos x="0" y="0"/>
                <wp:positionH relativeFrom="column">
                  <wp:posOffset>2092960</wp:posOffset>
                </wp:positionH>
                <wp:positionV relativeFrom="paragraph">
                  <wp:posOffset>76835</wp:posOffset>
                </wp:positionV>
                <wp:extent cx="1112520" cy="510540"/>
                <wp:effectExtent l="4445" t="4445" r="6985" b="18415"/>
                <wp:wrapNone/>
                <wp:docPr id="133" name="圆角矩形 133"/>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成立隐患排查治理小组</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8pt;margin-top:6.05pt;height:40.2pt;width:87.6pt;z-index:251692032;v-text-anchor:middle;mso-width-relative:page;mso-height-relative:page;" filled="f" stroked="t" coordsize="21600,21600" arcsize="0.166666666666667" o:gfxdata="UEsFBgAAAAAAAAAAAAAAAAAAAAAAAFBLAwQKAAAAAACHTuJAAAAAAAAAAAAAAAAABAAAAGRycy9Q&#10;SwMEFAAAAAgAh07iQBacp4zYAAAACQEAAA8AAABkcnMvZG93bnJldi54bWxNjzFPwzAQhXck/oN1&#10;SGzUjmmrJsSpoAKJhYFCh25ubJJAfI5ybhv+PccE4+l9eve9cj2FXpz8SF1EA9lMgfBYR9dhY+D9&#10;7elmBYKSRWf7iN7AtydYV5cXpS1cPOOrP21TI7gEqbAG2pSGQkqqWx8szeLgkbOPOAab+Bwb6UZ7&#10;5vLQS63UUgbbIX9o7eA3ra+/tsdgYKe7+8cszx8+p5fd87AnmtOGjLm+ytQdiOSn9AfDrz6rQ8VO&#10;h3hER6I3cKvzJaMc6AwEAws15y0HA7legKxK+X9B9QNQSwMEFAAAAAgAh07iQLoVxIGUAgAABgUA&#10;AA4AAABkcnMvZTJvRG9jLnhtbK1UwW7UMBC9I/EPlu80yXZDy6pZtOpShFRoRUGcvY6zsWR7jO1s&#10;tnwAH8AZCYkL4iP4nAo+g7GTbkvh0AOXZOwZv/G8eeOjp1utyEY4L8FUtNjLKRGGQy3NuqJv35w8&#10;OqTEB2ZqpsCIil4KT5/OHz446u1MTKAFVQtHEMT4WW8r2oZgZ1nmeSs083tghUFnA06zgEu3zmrH&#10;ekTXKpvk+eOsB1dbB1x4j7vLwUlHRHcfQGgaycUSeKeFCQOqE4oFLMm30no6T7dtGsHDWdN4EYiq&#10;KFYa0heToL2K32x+xGZrx2wr+XgFdp8r3KlJM2kw6Q5qyQIjnZN/QWnJHXhowh4HnQ2FJEawiiK/&#10;w81Fy6xItSDV3u5I9/8Plr/anDsia1TC/j4lhmls+dXnj7++ffr55fvVj68k7iNLvfUzDL6w525c&#10;eTRjydvG6fjHYsg2MXu5Y1ZsA+G4WRTFpJwg6Rx9ZZGX00R9dnPaOh+eC9AkGhV10Jn6NbYvsco2&#10;pz5gWoy/josZDZxIpVILlSF9RfeLgxJzMJRlg3JAU1sszZs1JUytUe88uIToQck6no443q1Xx8qR&#10;DUOVTJ6V00WRglSnX0I9bB+UeX595zE+3ecPoHi5JfPtcCS5BoVpGXBolNQVPUScHZIyCBKpHciM&#10;VtiutiPDK6gvsTsOBtl6y08kZjhlPpwzhzpFQnGSwxl+GgVIAIwWJS24D//aj/EoH/RS0qPukZ33&#10;HXOCEvXCoLCeFFPsDQlpMS0PYtPcbc/qtsd0+hiQtALfDMuTGeODujYbB/odDvwiZkUXMxxzD30Y&#10;F8dhmEd8MrhYLFIYDodl4dRcWB7Bh2YvugCNTDqIRA3sjPzheKR2jKMc5+/2OkXdPF/z3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BYAAABk&#10;cnMvUEsBAhQAFAAAAAgAh07iQBacp4zYAAAACQEAAA8AAAAAAAAAAQAgAAAAOAAAAGRycy9kb3du&#10;cmV2LnhtbFBLAQIUABQAAAAIAIdO4kC6FcSBlAIAAAYFAAAOAAAAAAAAAAEAIAAAAD0BAABkcnMv&#10;ZTJvRG9jLnhtbFBLBQYAAAAABgAGAFkBAABDBg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成立隐患排查治理小组</w:t>
                      </w:r>
                    </w:p>
                  </w:txbxContent>
                </v:textbox>
              </v:roundrect>
            </w:pict>
          </mc:Fallback>
        </mc:AlternateContent>
      </w:r>
      <w:r>
        <w:rPr>
          <w:rFonts w:hint="default" w:ascii="Times New Roman" w:hAnsi="Times New Roman" w:cs="Times New Roman"/>
          <w:color w:val="000000" w:themeColor="text1"/>
          <w:sz w:val="28"/>
          <w:szCs w:val="28"/>
          <w:lang w:val="en-US" w:eastAsia="zh-CN"/>
          <w14:textFill>
            <w14:solidFill>
              <w14:schemeClr w14:val="tx1"/>
            </w14:solidFill>
          </w14:textFill>
        </w:rPr>
        <w:t xml:space="preserve">    </w:t>
      </w:r>
    </w:p>
    <w:p>
      <w:pPr>
        <w:numPr>
          <w:ilvl w:val="255"/>
          <w:numId w:val="0"/>
        </w:num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3056" behindDoc="0" locked="0" layoutInCell="1" allowOverlap="1">
                <wp:simplePos x="0" y="0"/>
                <wp:positionH relativeFrom="column">
                  <wp:posOffset>2439670</wp:posOffset>
                </wp:positionH>
                <wp:positionV relativeFrom="paragraph">
                  <wp:posOffset>191135</wp:posOffset>
                </wp:positionV>
                <wp:extent cx="441960" cy="281940"/>
                <wp:effectExtent l="21590" t="6350" r="31750" b="16510"/>
                <wp:wrapNone/>
                <wp:docPr id="134" name="下箭头 134"/>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1pt;margin-top:15.05pt;height:22.2pt;width:34.8pt;z-index:251693056;v-text-anchor:middle;mso-width-relative:page;mso-height-relative:page;" fillcolor="#4874CB [3204]" filled="t" stroked="t" coordsize="21600,21600" o:gfxdata="UEsFBgAAAAAAAAAAAAAAAAAAAAAAAFBLAwQKAAAAAACHTuJAAAAAAAAAAAAAAAAABAAAAGRycy9Q&#10;SwMEFAAAAAgAh07iQEDwToHYAAAACQEAAA8AAABkcnMvZG93bnJldi54bWxNj8tOwzAQRfdI/IM1&#10;SOyonTalJcSpBFKh2wYW7c6JhySqH1HsJOXvGVawm9Ec3Tk3312tYRMOofNOQrIQwNDVXneukfD5&#10;sX/YAgtROa2MdyjhGwPsitubXGXaz+6IUxkbRiEuZEpCG2OfcR7qFq0KC9+jo9uXH6yKtA4N14Oa&#10;KdwavhTikVvVOfrQqh5fW6wv5WglnHQ8Xp7epkM5vs+bF20O1f6cSnl/l4hnYBGv8Q+GX31Sh4Kc&#10;Kj86HZiRsNqmS0JpEAkwAtL1irpUEjbpGniR8/8Nih9QSwMEFAAAAAgAh07iQOscRAeTAgAAIQUA&#10;AA4AAABkcnMvZTJvRG9jLnhtbK1UwW4TMRC9I/EPlu90s2HbpFE3VUgoQiq0UkGcHa83a8n2GNvJ&#10;pvxCf4MrnDjwQSB+g7F3m6Ythx647M54xm9m3sz45HSrFdkI5yWYkuYHA0qE4VBJsyrpxw9nL8aU&#10;+MBMxRQYUdJr4enp9Pmzk9ZOxBAaUJVwBEGMn7S2pE0IdpJlnjdCM38AVhg01uA0C6i6VVY51iK6&#10;VtlwMDjKWnCVdcCF93i66Iy0R3RPAYS6llwsgK+1MKFDdUKxgCX5RlpPpynbuhY8XNS1F4GokmKl&#10;IX0xCMrL+M2mJ2yycsw2kvcpsKek8KAmzaTBoDuoBQuMrJ18BKUld+ChDgccdNYVkhjBKvLBA26u&#10;GmZFqgWp9nZHuv9/sPz95tIRWeEkvCwoMUxjy3/9vPnz/dvvrz9IPESKWusn6HllL12veRRjvdva&#10;6fjHSsg20Xq9o1VsA+F4WBT58RESztE0HOfHRaI9u7tsnQ9vBGgShZJW0JqZc9AmRtnm3AeMiv63&#10;fjGgByWrM6lUUtxqOVeObBi2uRiPivmrmDZeueemDGmx0OFoELNhOLw1Dg2K2iIB3qwoYWqFW8GD&#10;S7Hv3fb7QYavD4tZnpzUWr+Dqos9Ohwgdh+683+cRixjwXzTXUkx4hU20TLgaimpSzpGnB2SMggS&#10;e9CxHqUlVNfYOAfdRHvLzyTCnjMfLpnDEcYKccnDBX5qBVg29BIlDbgv/zqP/jhZaKWkxZVASj6v&#10;mROUqLcGZ+44L7B1JCSlOBwNUXH7luW+xaz1HLAdOT4nlicx+gd1K9YO9Cd8C2YxKpqY4Ri7I79X&#10;5qFbVXxNuJjNkhvujWXh3FxZHsEjbwZm6wC1TGNyx05PGm5O6kG/5XE19/XkdfeyTf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QPBOgdgAAAAJAQAADwAAAAAAAAABACAAAAA4AAAAZHJzL2Rvd25y&#10;ZXYueG1sUEsBAhQAFAAAAAgAh07iQOscRAeTAgAAIQUAAA4AAAAAAAAAAQAgAAAAPQEAAGRycy9l&#10;Mm9Eb2MueG1sUEsFBgAAAAAGAAYAWQEAAEIGAAAAAA==&#10;" adj="10800,5400">
                <v:fill on="t" focussize="0,0"/>
                <v:stroke weight="1pt" color="#2E54A1 [2404]" miterlimit="8" joinstyle="miter"/>
                <v:imagedata o:title=""/>
                <o:lock v:ext="edit" aspectratio="f"/>
              </v:shape>
            </w:pict>
          </mc:Fallback>
        </mc:AlternateContent>
      </w:r>
    </w:p>
    <w:p>
      <w:pPr>
        <w:numPr>
          <w:ilvl w:val="255"/>
          <w:numId w:val="0"/>
        </w:num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4080" behindDoc="0" locked="0" layoutInCell="1" allowOverlap="1">
                <wp:simplePos x="0" y="0"/>
                <wp:positionH relativeFrom="column">
                  <wp:posOffset>2092960</wp:posOffset>
                </wp:positionH>
                <wp:positionV relativeFrom="paragraph">
                  <wp:posOffset>145415</wp:posOffset>
                </wp:positionV>
                <wp:extent cx="1112520" cy="510540"/>
                <wp:effectExtent l="4445" t="4445" r="6985" b="18415"/>
                <wp:wrapNone/>
                <wp:docPr id="135" name="圆角矩形 135"/>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制定隐患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排查表</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8pt;margin-top:11.45pt;height:40.2pt;width:87.6pt;z-index:251694080;v-text-anchor:middle;mso-width-relative:page;mso-height-relative:page;" filled="f" stroked="t" coordsize="21600,21600" arcsize="0.166666666666667" o:gfxdata="UEsFBgAAAAAAAAAAAAAAAAAAAAAAAFBLAwQKAAAAAACHTuJAAAAAAAAAAAAAAAAABAAAAGRycy9Q&#10;SwMEFAAAAAgAh07iQMttyJnYAAAACgEAAA8AAABkcnMvZG93bnJldi54bWxNjzFPwzAQhXck/oN1&#10;SGzUjlMqEuJUUIHEwkChA5sbmyQQn6Oc24Z/zzHBeLpP732vWs9hEEc/UR/RQLZQIDw20fXYGnh7&#10;fby6AUHJorNDRG/g2xOs6/OzypYunvDFH7epFRyCVFoDXUpjKSU1nQ+WFnH0yL+POAWb+Jxa6SZ7&#10;4vAwSK3USgbbIzd0dvSbzjdf20MwsNP93UNWFPef8/PuaXwnWtKGjLm8yNQtiOTn9AfDrz6rQ81O&#10;+3hAR2IwkOtixagBrQsQDFyrJW/ZM6nyHGRdyf8T6h9QSwMEFAAAAAgAh07iQMAepR+UAgAABgUA&#10;AA4AAABkcnMvZTJvRG9jLnhtbK1UwW7UMBC9I/EPlu80yXZDy6rZatWlCKnQioI4ex1nY8n2GNvZ&#10;bPkAPoAzEhIXxEfwORV8BmMn3ZbCgQOXZOwZv/G8eeOj461WZCOcl2AqWuzllAjDoZZmXdE3r08f&#10;HVLiAzM1U2BERa+Ep8fzhw+OejsTE2hB1cIRBDF+1tuKtiHYWZZ53grN/B5YYdDZgNMs4NKts9qx&#10;HtG1yiZ5/jjrwdXWARfe4+5ycNIR0f0LIDSN5GIJvNPChAHVCcUCluRbaT2dp9s2jeDhvGm8CERV&#10;FCsN6YtJ0F7FbzY/YrO1Y7aVfLwC+5cr3KtJM2kw6Q5qyQIjnZN/QGnJHXhowh4HnQ2FJEawiiK/&#10;x81ly6xItSDV3u5I9/8Plr/cXDgia1TCfkmJYRpbfv3pw8+vH398/nb9/QuJ+8hSb/0Mgy/thRtX&#10;Hs1Y8rZxOv6xGLJNzF7tmBXbQDhuFkUxKSdIOkdfWeTlNFGf3Z62zodnAjSJRkUddKZ+he1LrLLN&#10;mQ+YFuNv4mJGA6dSqdRCZUhf0f3iAIvgDGXZoBzQ1BZL82ZNCVNr1DsPLiF6ULKOpyOOd+vViXJk&#10;w1Alk6fldFGkINXpF1AP2wdlnt/ceYxP9/kNKF5uyXw7HEmuQWFaBhwaJXVFDxFnh6QMgkRqBzKj&#10;Fbar7cjwCuor7I6DQbbe8lOJGc6YDxfMoU6RUJzkcI6fRgESAKNFSQvu/d/2YzzKB72U9Kh7ZOdd&#10;x5ygRD03KKwnxRR7Q0JaTMuD2DR317O66zGdPgEkrcA3w/JkxvigbszGgX6LA7+IWdHFDMfcQx/G&#10;xUkY5hGfDC4WixSGw2FZODOXlkfwodmLLkAjkw4iUQM7I384Hqkd4yjH+bu7TlG3z9f8F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BsFAABbQ29u&#10;dGVudF9UeXBlc10ueG1sUEsBAhQACgAAAAAAh07iQAAAAAAAAAAAAAAAAAYAAAAAAAAAAAAQAAAA&#10;/QMAAF9yZWxzL1BLAQIUABQAAAAIAIdO4kCKFGY80QAAAJQBAAALAAAAAAAAAAEAIAAAACEEAABf&#10;cmVscy8ucmVsc1BLAQIUAAoAAAAAAIdO4kAAAAAAAAAAAAAAAAAEAAAAAAAAAAAAEAAAABYAAABk&#10;cnMvUEsBAhQAFAAAAAgAh07iQMttyJnYAAAACgEAAA8AAAAAAAAAAQAgAAAAOAAAAGRycy9kb3du&#10;cmV2LnhtbFBLAQIUABQAAAAIAIdO4kDAHqUflAIAAAYFAAAOAAAAAAAAAAEAIAAAAD0BAABkcnMv&#10;ZTJvRG9jLnhtbFBLBQYAAAAABgAGAFkBAABDBg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制定隐患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排查表</w:t>
                      </w:r>
                    </w:p>
                  </w:txbxContent>
                </v:textbox>
              </v:roundrect>
            </w:pict>
          </mc:Fallback>
        </mc:AlternateContent>
      </w:r>
    </w:p>
    <w:p>
      <w:pPr>
        <w:numPr>
          <w:ilvl w:val="255"/>
          <w:numId w:val="0"/>
        </w:num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5104" behindDoc="0" locked="0" layoutInCell="1" allowOverlap="1">
                <wp:simplePos x="0" y="0"/>
                <wp:positionH relativeFrom="column">
                  <wp:posOffset>2447290</wp:posOffset>
                </wp:positionH>
                <wp:positionV relativeFrom="paragraph">
                  <wp:posOffset>274955</wp:posOffset>
                </wp:positionV>
                <wp:extent cx="441960" cy="281940"/>
                <wp:effectExtent l="21590" t="6350" r="31750" b="16510"/>
                <wp:wrapNone/>
                <wp:docPr id="136" name="下箭头 136"/>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21.65pt;height:22.2pt;width:34.8pt;z-index:251695104;v-text-anchor:middle;mso-width-relative:page;mso-height-relative:page;" fillcolor="#4874CB [3204]" filled="t" stroked="t" coordsize="21600,21600" o:gfxdata="UEsFBgAAAAAAAAAAAAAAAAAAAAAAAFBLAwQKAAAAAACHTuJAAAAAAAAAAAAAAAAABAAAAGRycy9Q&#10;SwMEFAAAAAgAh07iQLY4tzPYAAAACQEAAA8AAABkcnMvZG93bnJldi54bWxNj01Pg0AURfcm/ofJ&#10;M3FnhwoIIo8mmlS7LbrQ3cCMQDofhBmg/nufK7t8eSf3nlvuzkazRU1+cBZhu4mAKds6OdgO4eN9&#10;f5cD80FYKbSzCuFHedhV11elKKRb7VEtdegYhVhfCIQ+hLHg3Le9MsJv3Kgs/b7dZESgc+q4nMRK&#10;4Ubz+yh64EYMlhp6MaqXXrWnejYInzIcT4+vy6Ge39bsWepDs/9KEG9vttETsKDO4R+GP31Sh4qc&#10;Gjdb6ZlGiPM0IRQhiWNgBCRpSuMahDzLgFclv1xQ/QJQSwMEFAAAAAgAh07iQIHS3fKTAgAAIQUA&#10;AA4AAABkcnMvZTJvRG9jLnhtbK1UwW4TMRC9I/EPlu90s2HbpFE3VUgoQiq0UkGcHa83a8n2GNvJ&#10;pvxCf4MrnDjwQSB+g7F3m6Ythx647M54xm9m3sz45HSrFdkI5yWYkuYHA0qE4VBJsyrpxw9nL8aU&#10;+MBMxRQYUdJr4enp9Pmzk9ZOxBAaUJVwBEGMn7S2pE0IdpJlnjdCM38AVhg01uA0C6i6VVY51iK6&#10;VtlwMDjKWnCVdcCF93i66Iy0R3RPAYS6llwsgK+1MKFDdUKxgCX5RlpPpynbuhY8XNS1F4GokmKl&#10;IX0xCMrL+M2mJ2yycsw2kvcpsKek8KAmzaTBoDuoBQuMrJ18BKUld+ChDgccdNYVkhjBKvLBA26u&#10;GmZFqgWp9nZHuv9/sPz95tIRWeEkvDyixDCNLf/18+bP92+/v/4g8RApaq2foOeVvXS95lGM9W5r&#10;p+MfKyHbROv1jlaxDYTjYVHkx0dIOEfTcJwfF4n27O6ydT68EaBJFEpaQWtmzkGbGGWbcx8wKvrf&#10;+sWAHpSszqRSSXGr5Vw5smHY5mI8KuavYtp45Z6bMqTFQoejQcyG4fDWODQoaosEeLOihKkVbgUP&#10;LsW+d9vvBxm+PixmeXJSa/0Oqi726HCA2H3ozv9xGrGMBfNNdyXFiFfYRMuAq6WkLukYcXZIyiBI&#10;7EHHepSWUF1j4xx0E+0tP5MIe858uGQORxgrxCUPF/ipFWDZ0EuUNOC+/Os8+uNkoZWSFlcCKfm8&#10;Zk5Qot4anLnjvMDWkZCU4nA0RMXtW5b7FrPWc8B25PicWJ7E6B/UrVg70J/wLZjFqGhihmPsjvxe&#10;mYduVfE14WI2S264N5aFc3NleQSPvBmYrQPUMo3JHTs9abg5qQf9lsfV3NeT193LNv0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tji3M9gAAAAJAQAADwAAAAAAAAABACAAAAA4AAAAZHJzL2Rvd25y&#10;ZXYueG1sUEsBAhQAFAAAAAgAh07iQIHS3fKTAgAAIQUAAA4AAAAAAAAAAQAgAAAAPQEAAGRycy9l&#10;Mm9Eb2MueG1sUEsFBgAAAAAGAAYAWQEAAEIGAAAAAA==&#10;" adj="10800,5400">
                <v:fill on="t" focussize="0,0"/>
                <v:stroke weight="1pt" color="#2E54A1 [2404]" miterlimit="8" joinstyle="miter"/>
                <v:imagedata o:title=""/>
                <o:lock v:ext="edit" aspectratio="f"/>
              </v:shape>
            </w:pict>
          </mc:Fallback>
        </mc:AlternateContent>
      </w:r>
    </w:p>
    <w:p>
      <w:pPr>
        <w:numPr>
          <w:ilvl w:val="255"/>
          <w:numId w:val="0"/>
        </w:numPr>
        <w:rPr>
          <w:rFonts w:hint="default" w:ascii="Times New Roman" w:hAnsi="Times New Roman" w:cs="Times New Roman"/>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6128" behindDoc="0" locked="0" layoutInCell="1" allowOverlap="1">
                <wp:simplePos x="0" y="0"/>
                <wp:positionH relativeFrom="column">
                  <wp:posOffset>2108200</wp:posOffset>
                </wp:positionH>
                <wp:positionV relativeFrom="paragraph">
                  <wp:posOffset>191135</wp:posOffset>
                </wp:positionV>
                <wp:extent cx="1112520" cy="510540"/>
                <wp:effectExtent l="4445" t="4445" r="6985" b="18415"/>
                <wp:wrapNone/>
                <wp:docPr id="137" name="圆角矩形 137"/>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开展隐患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排查</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pt;margin-top:15.05pt;height:40.2pt;width:87.6pt;z-index:251696128;v-text-anchor:middle;mso-width-relative:page;mso-height-relative:page;" filled="f" stroked="t" coordsize="21600,21600" arcsize="0.166666666666667" o:gfxdata="UEsFBgAAAAAAAAAAAAAAAAAAAAAAAFBLAwQKAAAAAACHTuJAAAAAAAAAAAAAAAAABAAAAGRycy9Q&#10;SwMEFAAAAAgAh07iQIAA/xPYAAAACgEAAA8AAABkcnMvZG93bnJldi54bWxNj8FOwzAMhu9IvENk&#10;JG4saceAlaYTTCBx4cBgB25ZY9pC41R1tpW3x5zgZsuffn9/uZpCrw44chfJQjYzoJDq6DtqLLy9&#10;Pl7cgOLkyLs+Elr4RoZVdXpSusLHI73gYZMaJSHEhbPQpjQUWnPdYnA8iwOS3D7iGFySdWy0H91R&#10;wkOvc2OudHAdyYfWDbhusf7a7IOFbd7dPWTL5f3n9Lx9Gt6ZL3nN1p6fZeYWVMIp/cHwqy/qUInT&#10;Lu7Js+otzOe5dEkymAyUAAtznYPaCZmZBeiq1P8rVD9QSwMEFAAAAAgAh07iQBYYemqVAgAABgUA&#10;AA4AAABkcnMvZTJvRG9jLnhtbK1UwW7UMBC9I/EPlu80yXbDllWz1apLEVKhFQVx9jrOxpLtMbZ3&#10;s+UD+gGckZC4ID6Cz6ngMxg76bYUDj1wScae8RvPmzc+PNpqRTbCeQmmosVeTokwHGppVhV99/bk&#10;yQElPjBTMwVGVPRSeHo0e/zosLNTMYIWVC0cQRDjp52taBuCnWaZ563QzO+BFQadDTjNAi7dKqsd&#10;6xBdq2yU50+zDlxtHXDhPe4ueicdEN1DAKFpJBcL4GstTOhRnVAsYEm+ldbTWbpt0wgezprGi0BU&#10;RbHSkL6YBO1l/GazQzZdOWZbyYcrsIdc4V5NmkmDSXdQCxYYWTv5F5SW3IGHJuxx0FlfSGIEqyjy&#10;e9xctMyKVAtS7e2OdP//YPnrzbkjskYl7E8oMUxjy68/X/369unnl+/XP76SuI8sddZPMfjCnrth&#10;5dGMJW8bp+MfiyHbxOzljlmxDYTjZlEUo3KEpHP0lUVejhP12e1p63x4IUCTaFTUwdrUb7B9iVW2&#10;OfUB02L8TVzMaOBEKpVaqAzpKrpfTErMwVCWDcoBTW2xNG9WlDC1Qr3z4BKiByXreDrieLdaHitH&#10;NgxVMnpejudFClJr/QrqfntS5vnNnYf4dJ8/gOLlFsy3/ZHk6hWmZcChUVJX9ABxdkjKIEikticz&#10;WmG73A4ML6G+xO446GXrLT+RmOGU+XDOHOoUCcVJDmf4aRQgATBYlLTgPv5rP8ajfNBLSYe6R3Y+&#10;rJkTlKiXBoX1rBhjb0hIi3E5iU1zdz3Lux6z1seApBX4ZliezBgf1I3ZONDvceDnMSu6mOGYu+/D&#10;sDgO/Tzik8HFfJ7CcDgsC6fmwvII3jd7vg7QyKSDSFTPzsAfjkdqxzDKcf7urlPU7fM1+w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cBQAAW0Nv&#10;bnRlbnRfVHlwZXNdLnhtbFBLAQIUAAoAAAAAAIdO4kAAAAAAAAAAAAAAAAAGAAAAAAAAAAAAEAAA&#10;AP4DAABfcmVscy9QSwECFAAUAAAACACHTuJAihRmPNEAAACUAQAACwAAAAAAAAABACAAAAAiBAAA&#10;X3JlbHMvLnJlbHNQSwECFAAKAAAAAACHTuJAAAAAAAAAAAAAAAAABAAAAAAAAAAAABAAAAAWAAAA&#10;ZHJzL1BLAQIUABQAAAAIAIdO4kCAAP8T2AAAAAoBAAAPAAAAAAAAAAEAIAAAADgAAABkcnMvZG93&#10;bnJldi54bWxQSwECFAAUAAAACACHTuJAFhh6apUCAAAGBQAADgAAAAAAAAABACAAAAA9AQAAZHJz&#10;L2Uyb0RvYy54bWxQSwUGAAAAAAYABgBZAQAARAY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开展隐患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排查</w:t>
                      </w:r>
                    </w:p>
                  </w:txbxContent>
                </v:textbox>
              </v:roundrect>
            </w:pict>
          </mc:Fallback>
        </mc:AlternateContent>
      </w:r>
    </w:p>
    <w:p>
      <w:pPr>
        <w:numPr>
          <w:ilvl w:val="255"/>
          <w:numId w:val="0"/>
        </w:numPr>
        <w:rPr>
          <w:rFonts w:hint="default" w:ascii="Times New Roman" w:hAnsi="Times New Roman" w:cs="Times New Roman" w:eastAsiaTheme="minorEastAsia"/>
          <w:color w:val="000000" w:themeColor="text1"/>
          <w:sz w:val="28"/>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7152" behindDoc="0" locked="0" layoutInCell="1" allowOverlap="1">
                <wp:simplePos x="0" y="0"/>
                <wp:positionH relativeFrom="column">
                  <wp:posOffset>2447290</wp:posOffset>
                </wp:positionH>
                <wp:positionV relativeFrom="paragraph">
                  <wp:posOffset>320675</wp:posOffset>
                </wp:positionV>
                <wp:extent cx="441960" cy="281940"/>
                <wp:effectExtent l="21590" t="6350" r="31750" b="16510"/>
                <wp:wrapNone/>
                <wp:docPr id="138" name="下箭头 138"/>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25.25pt;height:22.2pt;width:34.8pt;z-index:251697152;v-text-anchor:middle;mso-width-relative:page;mso-height-relative:page;" fillcolor="#4874CB [3204]" filled="t" stroked="t" coordsize="21600,21600" o:gfxdata="UEsFBgAAAAAAAAAAAAAAAAAAAAAAAFBLAwQKAAAAAACHTuJAAAAAAAAAAAAAAAAABAAAAGRycy9Q&#10;SwMEFAAAAAgAh07iQArVkInYAAAACQEAAA8AAABkcnMvZG93bnJldi54bWxNj8FOwzAQRO9I/IO1&#10;SNyoXYhpE7KpBFKh1wYO5ebESxI1tqPYScrfY05wXO3TzJt8dzE9m2n0nbMI65UARrZ2urMNwsf7&#10;/m4LzAdlteqdJYRv8rArrq9ylWm32CPNZWhYDLE+UwhtCEPGua9bMsqv3EA2/r7caFSI59hwPaol&#10;hpue3wvxyI3qbGxo1UAvLdXncjIIJx2O5/R1PpTT27J51v2h2n8miLc3a/EELNAl/MHwqx/VoYhO&#10;lZus9qxHeNjKJKIIUkhgEUikjOMqhDRJgRc5/7+g+AFQSwMEFAAAAAgAh07iQFSzg1eSAgAAIQUA&#10;AA4AAABkcnMvZTJvRG9jLnhtbK1UzW4TMRC+I/EOlu90k7Bt0qhJFRKKkAqtVBBnx+vNruQ/bCeb&#10;8gp9Da5w4sADgXgNPnu3adpy6IHL7oxn/M3MNzM+Od0qSTbC+droCe0f9CgRmpui1qsJ/fjh7MWI&#10;Eh+YLpg0WkzotfD0dPr82Uljx2JgKiML4QhAtB83dkKrEOw4yzyvhGL+wFihYSyNUyxAdauscKwB&#10;upLZoNc7yhrjCusMF97jdNEaaYfongJoyrLmYmH4WgkdWlQnJAsoyVe19XSasi1LwcNFWXoRiJxQ&#10;VBrSF0EgL+M3m56w8coxW9W8S4E9JYUHNSlWawTdQS1YYGTt6kdQqubOeFOGA25U1haSGEEV/d4D&#10;bq4qZkWqBVR7uyPd/z9Y/n5z6UhdYBJeovGaKbT818+bP9+//f76g8RDUNRYP4bnlb10neYhxnq3&#10;pVPxj0rINtF6vaNVbAPhOMzz/vERCOcwDUb94zzRnt1dts6HN8IoEoUJLUyjZ86ZJjHKNuc+ICr8&#10;b/1iQG9kXZzVUibFrZZz6ciGoc35aJjPX8W0ceWem9SkQaGDYS9mwzC8JYYGorIgwOsVJUyusBU8&#10;uBT73m2/H2Tw+jCf9ZOTXKt3pmhjDw97wO5Ct/6P04hlLJiv2ispRrzCxqoOWC1ZqwkdAWeHJDVA&#10;Yg9a1qO0NMU1GudMO9He8rMasOfMh0vmMMKoEEseLvAppUHZppMoqYz78q/z6I/JgpWSBisBSj6v&#10;mROUyLcaM3fcz9E6EpKSHw4HUNy+Zblv0Ws1N2hHH8+J5UmM/kHeiqUz6hPeglmMChPTHLFb8jtl&#10;HtpVxWvCxWyW3LA3loVzfWV5BI+8aTNbB1PWaUzu2OlIw+akHnRbHldzX09edy/b9C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AK1ZCJ2AAAAAkBAAAPAAAAAAAAAAEAIAAAADgAAABkcnMvZG93bnJl&#10;di54bWxQSwECFAAUAAAACACHTuJAVLODV5ICAAAhBQAADgAAAAAAAAABACAAAAA9AQAAZHJzL2Uy&#10;b0RvYy54bWxQSwUGAAAAAAYABgBZAQAAQQYAAAAA&#10;" adj="10800,5400">
                <v:fill on="t" focussize="0,0"/>
                <v:stroke weight="1pt" color="#2E54A1 [2404]" miterlimit="8" joinstyle="miter"/>
                <v:imagedata o:title=""/>
                <o:lock v:ext="edit" aspectratio="f"/>
              </v:shape>
            </w:pict>
          </mc:Fallback>
        </mc:AlternateContent>
      </w: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702272" behindDoc="0" locked="0" layoutInCell="1" allowOverlap="1">
                <wp:simplePos x="0" y="0"/>
                <wp:positionH relativeFrom="column">
                  <wp:posOffset>2112010</wp:posOffset>
                </wp:positionH>
                <wp:positionV relativeFrom="paragraph">
                  <wp:posOffset>46355</wp:posOffset>
                </wp:positionV>
                <wp:extent cx="1112520" cy="746125"/>
                <wp:effectExtent l="4445" t="4445" r="6985" b="11430"/>
                <wp:wrapNone/>
                <wp:docPr id="139" name="圆角矩形 139"/>
                <wp:cNvGraphicFramePr/>
                <a:graphic xmlns:a="http://schemas.openxmlformats.org/drawingml/2006/main">
                  <a:graphicData uri="http://schemas.microsoft.com/office/word/2010/wordprocessingShape">
                    <wps:wsp>
                      <wps:cNvSpPr/>
                      <wps:spPr>
                        <a:xfrm>
                          <a:off x="0" y="0"/>
                          <a:ext cx="1112520" cy="746125"/>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隐患信息记录、通报和</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报送</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3pt;margin-top:3.65pt;height:58.75pt;width:87.6pt;z-index:251702272;v-text-anchor:middle;mso-width-relative:page;mso-height-relative:page;" filled="f" stroked="t" coordsize="21600,21600" arcsize="0.166666666666667" o:gfxdata="UEsFBgAAAAAAAAAAAAAAAAAAAAAAAFBLAwQKAAAAAACHTuJAAAAAAAAAAAAAAAAABAAAAGRycy9Q&#10;SwMEFAAAAAgAh07iQHeJq7bZAAAACQEAAA8AAABkcnMvZG93bnJldi54bWxNj8tOwzAQRfdI/IM1&#10;SOyonaT0kcapoAKJTRcUuujOjU0SiMdRxm3D3zOsYDm6R3fOLdaj78TZDdQG1JBMFAiHVbAt1hre&#10;357vFiAoGrSmC+g0fDuCdXl9VZjchgu+uvMu1oJLkHKjoYmxz6WkqnHe0CT0Djn7CIM3kc+hlnYw&#10;Fy73nUyVmklvWuQPjendpnHV1+7kNezT9uEpWS4fP8ft/qU/EE1pQ1rf3iRqBSK6Mf7B8KvP6lCy&#10;0zGc0JLoNGRZOmNUwzwDwfm9mvOUI4PpdAGyLOT/BeUPUEsDBBQAAAAIAIdO4kBdgwvRlgIAAAYF&#10;AAAOAAAAZHJzL2Uyb0RvYy54bWytVMFuEzEQvSPxD5bvdLNp0rRRN1XUUIRUaEVAnB2vN2vJ9hjb&#10;m035gH4AZyQkLoiP4HMq+AzG3m1aCoceuOyOPeM3njdvfHyy1YpshPMSTEHzvQElwnAopVkX9N3b&#10;s2eHlPjATMkUGFHQK+Hpyezpk+PWTsUQalClcARBjJ+2tqB1CHaaZZ7XQjO/B1YYdFbgNAu4dOus&#10;dKxFdK2y4WBwkLXgSuuAC+9xd9E5aY/oHgMIVSW5WABvtDChQ3VCsYAl+VpaT2fptlUleLioKi8C&#10;UQXFSkP6YhK0V/GbzY7ZdO2YrSXvr8Aec4UHNWkmDSbdQS1YYKRx8i8oLbkDD1XY46CzrpDECFaR&#10;Dx5ws6yZFakWpNrbHen+/8Hy15tLR2SJStg/osQwjS2/+Xz969unn1++3/z4SuI+stRaP8Xgpb10&#10;/cqjGUveVk7HPxZDtonZqx2zYhsIx808z4fjIZLO0TcZHeAqgmZ3p63z4YUATaJRUAeNKd9g+xKr&#10;bHPuQxd/GxczGjiTSuE+mypD2oLu55Mx5mAoywrlgKa2WJo3a0qYWqPeeXAJ0YOSZTwdD3u3Xp0q&#10;RzYMVTJ8Ph7N8xSkGv0Kym57Mh4Mklzwzn18uv8fQPFyC+br7khydQrTMuDQKKkLeog4OyRlECRS&#10;25EZrbBdbXuGV1BeYXccdLL1lp9JzHDOfLhkDnWKhOIkhwv8VAqQAOgtSmpwH/+1H+NRPuilpEXd&#10;IzsfGuYEJeqlQWEd5aNRHJS0GI0nsWnuvmd132MafQpIWo5vhuXJjPFB3ZqVA/0eB34es6KLGY65&#10;uz70i9PQzSM+GVzM5ykMh8OycG6WlkfwrtnzJkAlkw4iUR07PX84Hqkd/SjH+bu/TlF3z9fs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B4FAABb&#10;Q29udGVudF9UeXBlc10ueG1sUEsBAhQACgAAAAAAh07iQAAAAAAAAAAAAAAAAAYAAAAAAAAAAAAQ&#10;AAAAAAQAAF9yZWxzL1BLAQIUABQAAAAIAIdO4kCKFGY80QAAAJQBAAALAAAAAAAAAAEAIAAAACQE&#10;AABfcmVscy8ucmVsc1BLAQIUAAoAAAAAAIdO4kAAAAAAAAAAAAAAAAAEAAAAAAAAAAAAEAAAABYA&#10;AABkcnMvUEsBAhQAFAAAAAgAh07iQHeJq7bZAAAACQEAAA8AAAAAAAAAAQAgAAAAOAAAAGRycy9k&#10;b3ducmV2LnhtbFBLAQIUABQAAAAIAIdO4kBdgwvRlgIAAAYFAAAOAAAAAAAAAAEAIAAAAD4BAABk&#10;cnMvZTJvRG9jLnhtbFBLBQYAAAAABgAGAFkBAABGBg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隐患信息记录、通报和</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报送</w:t>
                      </w:r>
                    </w:p>
                  </w:txbxContent>
                </v:textbox>
              </v:roundrect>
            </w:pict>
          </mc:Fallback>
        </mc:AlternateContent>
      </w: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701248" behindDoc="0" locked="0" layoutInCell="1" allowOverlap="1">
                <wp:simplePos x="0" y="0"/>
                <wp:positionH relativeFrom="column">
                  <wp:posOffset>2435860</wp:posOffset>
                </wp:positionH>
                <wp:positionV relativeFrom="paragraph">
                  <wp:posOffset>12065</wp:posOffset>
                </wp:positionV>
                <wp:extent cx="441960" cy="281940"/>
                <wp:effectExtent l="21590" t="6350" r="31750" b="16510"/>
                <wp:wrapNone/>
                <wp:docPr id="140" name="下箭头 140"/>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1.8pt;margin-top:0.95pt;height:22.2pt;width:34.8pt;z-index:251701248;v-text-anchor:middle;mso-width-relative:page;mso-height-relative:page;" fillcolor="#4874CB [3204]" filled="t" stroked="t" coordsize="21600,21600" o:gfxdata="UEsFBgAAAAAAAAAAAAAAAAAAAAAAAFBLAwQKAAAAAACHTuJAAAAAAAAAAAAAAAAABAAAAGRycy9Q&#10;SwMEFAAAAAgAh07iQM4yrUTXAAAACAEAAA8AAABkcnMvZG93bnJldi54bWxNj8FOg0AQhu8mvsNm&#10;TLzZpaXSFlmaaFLtteih3hZ2BFJ2lrAL1Ld3POltJt+ff77J9lfbiQkH3zpSsFxEIJAqZ1qqFXy8&#10;Hx62IHzQZHTnCBV8o4d9fnuT6dS4mU44FaEWXEI+1QqaEPpUSl81aLVfuB6J2ZcbrA68DrU0g565&#10;3HZyFUWJtLolvtDoHl8arC7FaBWcTThddq/TsRjf5s2z6Y7l4XOt1P3dMnoCEfAa/sLwq8/qkLNT&#10;6UYyXnQK4m2ccJTBDgTz9WO8AlHykMQg80z+fyD/AVBLAwQUAAAACACHTuJAY7oITJACAAAhBQAA&#10;DgAAAGRycy9lMm9Eb2MueG1srVTNbhMxEL4j8Q6W73Sz0bb5UTdVSChCKrRSQZwdrzdryfYY28mm&#10;vAKvwRVOHHggEK/B2LtN05ZDD1x2Zzzjb2a+mfHp2U4rshXOSzAlzY8GlAjDoZJmXdIP789fjCnx&#10;gZmKKTCipDfC07PZ82enrZ2KITSgKuEIghg/bW1JmxDsNMs8b4Rm/gisMGiswWkWUHXrrHKsRXSt&#10;suFgcJK14CrrgAvv8XTZGWmP6J4CCHUtuVgC32hhQofqhGIBS/KNtJ7OUrZ1LXi4rGsvAlElxUpD&#10;+mIQlFfxm81O2XTtmG0k71NgT0nhQU2aSYNB91BLFhjZOPkISkvuwEMdjjjorCskMYJV5IMH3Fw3&#10;zIpUC1Lt7Z50//9g+bvtlSOywkkokBPDNLb8188vf75/+/31B4mHSFFr/RQ9r+2V6zWPYqx3Vzsd&#10;/1gJ2SVab/a0il0gHA+LIp+cIDhH03CcTzrM7O6ydT68FqBJFEpaQWvmzkGbGGXbCx8wKvrf+sWA&#10;HpSszqVSSXHr1UI5smXY5mI8KhYvY9p45Z6bMqTFQoejQcyG4fDWODQoaosEeLOmhKk1bgUPLsW+&#10;d9sfBhm+Oi7meXJSG/0Wqi726HiA2H3ozv9xGrGMJfNNdyXFiFfYVMuAq6WkLukYcfZIyiBI7EHH&#10;epRWUN1g4xx0E+0tP5cIe8F8uGIORxgrxCUPl/ipFWDZ0EuUNOA+/+s8+uNkoZWSFlcCKfm0YU5Q&#10;ot4YnLlJXsQZCUkpjkdDVNyhZXVoMRu9AGxHjs+J5UmM/kHdirUD/RHfgnmMiiZmOMbuyO+VRehW&#10;FV8TLubz5IZ7Y1m4MNeWR/DIm4H5JkAt05jcsdOThpuTetBveVzNQz153b1ss7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WBQAAW0NvbnRlbnRf&#10;VHlwZXNdLnhtbFBLAQIUAAoAAAAAAIdO4kAAAAAAAAAAAAAAAAAGAAAAAAAAAAAAEAAAAPgDAABf&#10;cmVscy9QSwECFAAUAAAACACHTuJAihRmPNEAAACUAQAACwAAAAAAAAABACAAAAAcBAAAX3JlbHMv&#10;LnJlbHNQSwECFAAKAAAAAACHTuJAAAAAAAAAAAAAAAAABAAAAAAAAAAAABAAAAAWAAAAZHJzL1BL&#10;AQIUABQAAAAIAIdO4kDOMq1E1wAAAAgBAAAPAAAAAAAAAAEAIAAAADgAAABkcnMvZG93bnJldi54&#10;bWxQSwECFAAUAAAACACHTuJAY7oITJACAAAhBQAADgAAAAAAAAABACAAAAA8AQAAZHJzL2Uyb0Rv&#10;Yy54bWxQSwUGAAAAAAYABgBZAQAAPgYAAAAA&#10;" adj="10800,5400">
                <v:fill on="t" focussize="0,0"/>
                <v:stroke weight="1pt" color="#2E54A1 [2404]" miterlimit="8" joinstyle="miter"/>
                <v:imagedata o:title=""/>
                <o:lock v:ext="edit" aspectratio="f"/>
              </v:shape>
            </w:pict>
          </mc:Fallback>
        </mc:AlternateContent>
      </w:r>
    </w:p>
    <w:p>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8176" behindDoc="0" locked="0" layoutInCell="1" allowOverlap="1">
                <wp:simplePos x="0" y="0"/>
                <wp:positionH relativeFrom="column">
                  <wp:posOffset>2092960</wp:posOffset>
                </wp:positionH>
                <wp:positionV relativeFrom="paragraph">
                  <wp:posOffset>112395</wp:posOffset>
                </wp:positionV>
                <wp:extent cx="1112520" cy="510540"/>
                <wp:effectExtent l="4445" t="4445" r="6985" b="18415"/>
                <wp:wrapNone/>
                <wp:docPr id="141" name="圆角矩形 141"/>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实施隐患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治理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4.8pt;margin-top:8.85pt;height:40.2pt;width:87.6pt;z-index:251698176;v-text-anchor:middle;mso-width-relative:page;mso-height-relative:page;" filled="f" stroked="t" coordsize="21600,21600" arcsize="0.166666666666667" o:gfxdata="UEsFBgAAAAAAAAAAAAAAAAAAAAAAAFBLAwQKAAAAAACHTuJAAAAAAAAAAAAAAAAABAAAAGRycy9Q&#10;SwMEFAAAAAgAh07iQJaHuRXYAAAACQEAAA8AAABkcnMvZG93bnJldi54bWxNjzFPwzAQhXck/oN1&#10;SGzUTihtE+JUUIHEwkChA5ubHEkgPkc5tw3/nmOC8fQ+vftesZ58r444chfIQjIzoJCqUHfUWHh7&#10;fbxageLoqHZ9ILTwjQzr8vyscHkdTvSCx21slJQQ585CG+OQa81Vi97xLAxIkn2E0bso59joenQn&#10;Kfe9To1ZaO86kg+tG3DTYvW1PXgLu7S7e0iy7P5zet49De/Mc96wtZcXibkFFXGKfzD86os6lOK0&#10;DweqWfUWrtNsIagEyyUoAW7MXLbsLWSrBHRZ6P8Lyh9QSwMEFAAAAAgAh07iQBa9D56TAgAABgUA&#10;AA4AAABkcnMvZTJvRG9jLnhtbK1US24UMRDdI3EHy3vS08MMCaP0RKMMQUiBRATE2uN2T1vyD9vz&#10;CQfgAKyRkNggDsFxIjgGz+7OJAQWWbDpLruqX1W9etWHR1utyFr4IK2paLk3oEQYbmtplhV9++bk&#10;0QElITJTM2WNqOilCPRo+vDB4cZNxNC2VtXCE4CYMNm4irYxuklRBN4KzcKedcLA2VivWcTRL4va&#10;sw3QtSqGg8GTYmN97bzlIgTczjsn7RH9fQBt00gu5pavtDCxQ/VCsYiWQitdoNNcbdMIHs+aJohI&#10;VEXRacxPJIG9SM9iesgmS89cK3lfArtPCXd60kwaJN1BzVlkZOXlX1Bacm+DbeIet7roGsmMoIty&#10;cIebi5Y5kXsB1cHtSA//D5a/Wp97ImsoYVRSYpjGyK8+f/z17dPPL9+vfnwl6R4sbVyYIPjCnfv+&#10;FGCmlreN1+mNZsg2M3u5Y1ZsI+G4LMtyOB6CdA7fuByMR5n64uZr50N8LqwmyaiotytTv8b4Mqts&#10;fRoi0iL+Oi5lNPZEKpVHqAzZVPRxuT9GDgZZNpADTO3QWjBLSphaQu88+owYrJJ1+jrhBL9cHCtP&#10;1gwqGT4bj2ZlDlIr/dLW3fX+eDC4rrmPz/X8AZSKm7PQdp9kV6cwLSOWRkld0QPg7JCUAUiitiMz&#10;WXG72PYML2x9iel428k2OH4ikeGUhXjOPHQKQrHJ8QyPRlkQYHuLktb6D/+6T/GQD7yUbKB7sPN+&#10;xbygRL0wENbTcoTZkJgPo/F+Gpq/7Vnc9piVPrYgDdJBddlM8VFdm423+h0WfpaywsUMR+5uDv3h&#10;OHb7iF8GF7NZDsNyOBZPzYXjCbwb9mwVbSOzDhJRHTs9f1iPPI5+ldP+3T7nqJvf1/Q3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FgAAAGRy&#10;cy9QSwECFAAUAAAACACHTuJAloe5FdgAAAAJAQAADwAAAAAAAAABACAAAAA4AAAAZHJzL2Rvd25y&#10;ZXYueG1sUEsBAhQAFAAAAAgAh07iQBa9D56TAgAABgUAAA4AAAAAAAAAAQAgAAAAPQEAAGRycy9l&#10;Mm9Eb2MueG1sUEsFBgAAAAAGAAYAWQEAAEIGA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实施隐患</w:t>
                      </w:r>
                    </w:p>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治理</w:t>
                      </w:r>
                    </w:p>
                  </w:txbxContent>
                </v:textbox>
              </v:roundrect>
            </w:pict>
          </mc:Fallback>
        </mc:AlternateContent>
      </w:r>
    </w:p>
    <w:p>
      <w:pPr>
        <w:rPr>
          <w:rFonts w:hint="default" w:ascii="Times New Roman" w:hAnsi="Times New Roman" w:cs="Times New Roman"/>
          <w:color w:val="000000" w:themeColor="text1"/>
          <w:lang w:val="en-US" w:eastAsia="zh-CN"/>
          <w14:textFill>
            <w14:solidFill>
              <w14:schemeClr w14:val="tx1"/>
            </w14:solidFill>
          </w14:textFill>
        </w:rPr>
      </w:pPr>
    </w:p>
    <w:p>
      <w:p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699200" behindDoc="0" locked="0" layoutInCell="1" allowOverlap="1">
                <wp:simplePos x="0" y="0"/>
                <wp:positionH relativeFrom="column">
                  <wp:posOffset>2447290</wp:posOffset>
                </wp:positionH>
                <wp:positionV relativeFrom="paragraph">
                  <wp:posOffset>248285</wp:posOffset>
                </wp:positionV>
                <wp:extent cx="441960" cy="281940"/>
                <wp:effectExtent l="21590" t="6350" r="31750" b="16510"/>
                <wp:wrapNone/>
                <wp:docPr id="142" name="下箭头 142"/>
                <wp:cNvGraphicFramePr/>
                <a:graphic xmlns:a="http://schemas.openxmlformats.org/drawingml/2006/main">
                  <a:graphicData uri="http://schemas.microsoft.com/office/word/2010/wordprocessingShape">
                    <wps:wsp>
                      <wps:cNvSpPr/>
                      <wps:spPr>
                        <a:xfrm>
                          <a:off x="0" y="0"/>
                          <a:ext cx="441960" cy="281940"/>
                        </a:xfrm>
                        <a:prstGeom prst="downArrow">
                          <a:avLst/>
                        </a:prstGeom>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7" type="#_x0000_t67" style="position:absolute;left:0pt;margin-left:192.7pt;margin-top:19.55pt;height:22.2pt;width:34.8pt;z-index:251699200;v-text-anchor:middle;mso-width-relative:page;mso-height-relative:page;" fillcolor="#4874CB [3204]" filled="t" stroked="t" coordsize="21600,21600" o:gfxdata="UEsFBgAAAAAAAAAAAAAAAAAAAAAAAFBLAwQKAAAAAACHTuJAAAAAAAAAAAAAAAAABAAAAGRycy9Q&#10;SwMEFAAAAAgAh07iQFgCEejYAAAACQEAAA8AAABkcnMvZG93bnJldi54bWxNj01Pg0AQhu8m/ofN&#10;mHizCxaUIksTTaq9Fj20t4UdgXQ/CLtA/feOJ3ubyTx553mL7cVoNuPoe2cFxKsIGNrGqd62Ar4+&#10;dw8ZMB+kVVI7iwJ+0MO2vL0pZK7cYg84V6FlFGJ9LgV0IQw5577p0Ei/cgNaun270chA69hyNcqF&#10;wo3mj1H0xI3sLX3o5IBvHTbnajICjioczpv3eV9NH8vzq9L7endKhLi/i6MXYAEv4R+GP31Sh5Kc&#10;ajdZ5ZkWsM7ShFAaNjEwApI0pXK1gGydAi8Lft2g/AVQSwMEFAAAAAgAh07iQAl0kbmSAgAAIQUA&#10;AA4AAABkcnMvZTJvRG9jLnhtbK1UzW4TMRC+I/EOlu90k9W2+VE3VUgoQiq0UkGcHa83a8n2GNvJ&#10;prwCr8EVThx4IBCvwdi7TdOWQw9cdmc8429mvpnx6dlOK7IVzkswJR0eDSgRhkMlzbqkH96fvxhT&#10;4gMzFVNgRElvhKdns+fPTls7FTk0oCrhCIIYP21tSZsQ7DTLPG+EZv4IrDBorMFpFlB166xyrEV0&#10;rbJ8MDjJWnCVdcCF93i67Iy0R3RPAYS6llwsgW+0MKFDdUKxgCX5RlpPZynbuhY8XNa1F4GokmKl&#10;IX0xCMqr+M1mp2y6dsw2kvcpsKek8KAmzaTBoHuoJQuMbJx8BKUld+ChDkccdNYVkhjBKoaDB9xc&#10;N8yKVAtS7e2edP//YPm77ZUjssJJKHJKDNPY8l8/v/z5/u331x8kHiJFrfVT9Ly2V67XPIqx3l3t&#10;dPxjJWSXaL3Z0yp2gXA8LIrh5AQJ52jKx8NJkWjP7i5b58NrAZpEoaQVtGbuHLSJUba98AGjov+t&#10;XwzoQcnqXCqVFLdeLZQjW4ZtLsajYvEypo1X7rkpQ1osNB8NYjYMh7fGoUFRWyTAmzUlTK1xK3hw&#10;Kfa92/4wSP7quJgPk5Pa6LdQdbFHxwPE7kN3/o/TiGUsmW+6KylGvMKmWgZcLSV1SceIs0dSBkFi&#10;DzrWo7SC6gYb56CbaG/5uUTYC+bDFXM4wlghLnm4xE+tAMuGXqKkAff5X+fRHycLrZS0uBJIyacN&#10;c4IS9cbgzE2GBbaOhKQUx6McFXdoWR1azEYvANsxxOfE8iRG/6BuxdqB/ohvwTxGRRMzHGN35PfK&#10;InSriq8JF/N5csO9sSxcmGvLI3jkzcB8E6CWaUzu2OlJw81JPei3PK7moZ687l622V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WAAAAZHJz&#10;L1BLAQIUABQAAAAIAIdO4kBYAhHo2AAAAAkBAAAPAAAAAAAAAAEAIAAAADgAAABkcnMvZG93bnJl&#10;di54bWxQSwECFAAUAAAACACHTuJACXSRuZICAAAhBQAADgAAAAAAAAABACAAAAA9AQAAZHJzL2Uy&#10;b0RvYy54bWxQSwUGAAAAAAYABgBZAQAAQQYAAAAA&#10;" adj="10800,5400">
                <v:fill on="t" focussize="0,0"/>
                <v:stroke weight="1pt" color="#2E54A1 [2404]" miterlimit="8" joinstyle="miter"/>
                <v:imagedata o:title=""/>
                <o:lock v:ext="edit" aspectratio="f"/>
              </v:shape>
            </w:pict>
          </mc:Fallback>
        </mc:AlternateConten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 xml:space="preserve"> </w:t>
      </w:r>
    </w:p>
    <w:p>
      <w:p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cs="Times New Roman" w:eastAsiaTheme="minorEastAsia"/>
          <w:color w:val="000000" w:themeColor="text1"/>
          <w:sz w:val="28"/>
          <w:lang w:val="en-US" w:eastAsia="zh-CN" w:bidi="ar-SA"/>
          <w14:textFill>
            <w14:solidFill>
              <w14:schemeClr w14:val="tx1"/>
            </w14:solidFill>
          </w14:textFill>
        </w:rPr>
        <mc:AlternateContent>
          <mc:Choice Requires="wps">
            <w:drawing>
              <wp:anchor distT="0" distB="0" distL="114300" distR="114300" simplePos="0" relativeHeight="251700224" behindDoc="0" locked="0" layoutInCell="1" allowOverlap="1">
                <wp:simplePos x="0" y="0"/>
                <wp:positionH relativeFrom="column">
                  <wp:posOffset>2115820</wp:posOffset>
                </wp:positionH>
                <wp:positionV relativeFrom="paragraph">
                  <wp:posOffset>169545</wp:posOffset>
                </wp:positionV>
                <wp:extent cx="1112520" cy="510540"/>
                <wp:effectExtent l="4445" t="4445" r="6985" b="18415"/>
                <wp:wrapNone/>
                <wp:docPr id="143" name="圆角矩形 143"/>
                <wp:cNvGraphicFramePr/>
                <a:graphic xmlns:a="http://schemas.openxmlformats.org/drawingml/2006/main">
                  <a:graphicData uri="http://schemas.microsoft.com/office/word/2010/wordprocessingShape">
                    <wps:wsp>
                      <wps:cNvSpPr/>
                      <wps:spPr>
                        <a:xfrm>
                          <a:off x="0" y="0"/>
                          <a:ext cx="1112520" cy="510540"/>
                        </a:xfrm>
                        <a:prstGeom prst="roundRect">
                          <a:avLst/>
                        </a:prstGeom>
                        <a:noFill/>
                        <a:ln w="3175"/>
                      </wps:spPr>
                      <wps:style>
                        <a:lnRef idx="2">
                          <a:schemeClr val="accent1">
                            <a:lumMod val="75000"/>
                          </a:schemeClr>
                        </a:lnRef>
                        <a:fillRef idx="1">
                          <a:schemeClr val="accent1"/>
                        </a:fillRef>
                        <a:effectRef idx="0">
                          <a:srgbClr val="FFFFFF"/>
                        </a:effectRef>
                        <a:fontRef idx="minor">
                          <a:schemeClr val="lt1"/>
                        </a:fontRef>
                      </wps:style>
                      <wps:txb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隐患治理验收与评估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oundrect id="_x0000_s1026" o:spid="_x0000_s1026" o:spt="2" style="position:absolute;left:0pt;margin-left:166.6pt;margin-top:13.35pt;height:40.2pt;width:87.6pt;z-index:251700224;v-text-anchor:middle;mso-width-relative:page;mso-height-relative:page;" filled="f" stroked="t" coordsize="21600,21600" arcsize="0.166666666666667" o:gfxdata="UEsFBgAAAAAAAAAAAAAAAAAAAAAAAFBLAwQKAAAAAACHTuJAAAAAAAAAAAAAAAAABAAAAGRycy9Q&#10;SwMEFAAAAAgAh07iQNNSAF/aAAAACgEAAA8AAABkcnMvZG93bnJldi54bWxNj8tOwzAQRfdI/IM1&#10;SOyonaT0kcapoAKJTRcUuujOjYckEI+jjNuGv8esYDm6R/eeKdaj68QZB249aUgmCgRS5W1LtYb3&#10;t+e7BQgOhqzpPKGGb2RYl9dXhcmtv9ArnnehFrGEODcamhD6XEquGnSGJ75HitmHH5wJ8RxqaQdz&#10;ieWuk6lSM+lMS3GhMT1uGqy+dienYZ+2D0/Jcvn4OW73L/2Becob1vr2JlErEAHH8AfDr35UhzI6&#10;Hf2JLItOQ5ZlaUQ1pLM5iAjcq8UUxDGSap6ALAv5/4XyB1BLAwQUAAAACACHTuJAwLvQ65QCAAAG&#10;BQAADgAAAGRycy9lMm9Eb2MueG1srVTBbtQwEL0j8Q+W7zTJdkPLqtlq1aUIqdCKgjh7HWdjyfYY&#10;29ls+QA+gDMSEhfER/A5FXwGYyfdlsKBA5dk7Bm/8bx546PjrVZkI5yXYCpa7OWUCMOhlmZd0Tev&#10;Tx8dUuIDMzVTYERFr4Snx/OHD456OxMTaEHVwhEEMX7W24q2IdhZlnneCs38Hlhh0NmA0yzg0q2z&#10;2rEe0bXKJnn+OOvB1dYBF97j7nJw0hHR/QsgNI3kYgm808KEAdUJxQKW5FtpPZ2n2zaN4OG8abwI&#10;RFUUKw3pi0nQXsVvNj9is7VjtpV8vAL7lyvcq0kzaTDpDmrJAiOdk39AackdeGjCHgedDYUkRrCK&#10;Ir/HzWXLrEi1INXe7kj3/w+Wv9xcOCJrVMJ0nxLDNLb8+tOHn18//vj87fr7FxL3kaXe+hkGX9oL&#10;N648mrHkbeN0/GMxZJuYvdoxK7aBcNwsimJSTpB0jr6yyMtpoj67PW2dD88EaBKNijroTP0K25dY&#10;ZZszHzAtxt/ExYwGTqVSqYXKkL6i+8VBiTkYyrJBOaCpLZbmzZoSptaodx5cQvSgZB1PRxzv1qsT&#10;5ciGoUomT8vpokhBqtMvoB62D8o8v7nzGJ/u8xtQvNyS+XY4klyDwrQMODRK6ooeIs4OSRkEidQO&#10;ZEYrbFfbkeEV1FfYHQeDbL3lpxIznDEfLphDnSKhOMnhHD+NAiQARouSFtz7v+3HeJQPeinpUffI&#10;zruOOUGJem5QWE+KKfaGhLSYlgexae6uZ3XXYzp9AkhagW+G5cmM8UHdmI0D/RYHfhGzoosZjrmH&#10;PoyLkzDMIz4ZXCwWKQyHw7JwZi4tj+BDsxddgEYmHUSiBnZG/nA8UjvGUY7zd3edom6fr/kv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FgAA&#10;AGRycy9QSwECFAAUAAAACACHTuJA01IAX9oAAAAKAQAADwAAAAAAAAABACAAAAA4AAAAZHJzL2Rv&#10;d25yZXYueG1sUEsBAhQAFAAAAAgAh07iQMC70OuUAgAABgUAAA4AAAAAAAAAAQAgAAAAPwEAAGRy&#10;cy9lMm9Eb2MueG1sUEsFBgAAAAAGAAYAWQEAAEUGAAAAAA==&#10;">
                <v:fill on="f" focussize="0,0"/>
                <v:stroke weight="0.25pt" color="#2E54A1 [2404]" miterlimit="8" joinstyle="miter"/>
                <v:imagedata o:title=""/>
                <o:lock v:ext="edit" aspectratio="f"/>
                <v:textbox>
                  <w:txbxContent>
                    <w:p>
                      <w:pPr>
                        <w:jc w:val="center"/>
                        <w:rPr>
                          <w:rFonts w:eastAsia="宋体"/>
                          <w:color w:val="auto"/>
                          <w:lang w:val="en-US" w:eastAsia="zh-CN"/>
                          <w14:textOutline w14:w="3175" w14:cap="flat" w14:cmpd="sng" w14:algn="ctr">
                            <w14:solidFill>
                              <w14:schemeClr w14:val="tx1"/>
                            </w14:solidFill>
                            <w14:prstDash w14:val="solid"/>
                            <w14:round/>
                          </w14:textOutline>
                        </w:rPr>
                      </w:pPr>
                      <w:r>
                        <w:rPr>
                          <w:rFonts w:hint="eastAsia" w:eastAsia="宋体"/>
                          <w:color w:val="auto"/>
                          <w:lang w:val="en-US" w:eastAsia="zh-CN"/>
                          <w14:textOutline w14:w="3175" w14:cap="flat" w14:cmpd="sng" w14:algn="ctr">
                            <w14:solidFill>
                              <w14:schemeClr w14:val="tx1"/>
                            </w14:solidFill>
                            <w14:prstDash w14:val="solid"/>
                            <w14:round/>
                          </w14:textOutline>
                        </w:rPr>
                        <w:t>隐患治理验收与评估</w:t>
                      </w:r>
                    </w:p>
                  </w:txbxContent>
                </v:textbox>
              </v:roundrect>
            </w:pict>
          </mc:Fallback>
        </mc:AlternateContent>
      </w:r>
    </w:p>
    <w:p>
      <w:p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p>
    <w:p>
      <w:pPr>
        <w:numPr>
          <w:ilvl w:val="0"/>
          <w:numId w:val="3"/>
        </w:num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查治对象</w:t>
      </w:r>
    </w:p>
    <w:p>
      <w:pPr>
        <w:keepNext w:val="0"/>
        <w:keepLines w:val="0"/>
        <w:pageBreakBefore w:val="0"/>
        <w:widowControl w:val="0"/>
        <w:numPr>
          <w:ilvl w:val="255"/>
          <w:numId w:val="0"/>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隐患排查治理的对象包括：人因隐患、物因隐患、环境隐患和管理隐患等。</w:t>
      </w:r>
    </w:p>
    <w:p>
      <w:pPr>
        <w:numPr>
          <w:ilvl w:val="0"/>
          <w:numId w:val="3"/>
        </w:num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事故隐患分类</w:t>
      </w:r>
    </w:p>
    <w:p>
      <w:pPr>
        <w:keepNext w:val="0"/>
        <w:keepLines w:val="0"/>
        <w:pageBreakBefore w:val="0"/>
        <w:widowControl w:val="0"/>
        <w:numPr>
          <w:ilvl w:val="255"/>
          <w:numId w:val="0"/>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根据《安全生产事故隐患排查治理暂行规定》，隐患分为一般事故隐患和重大事故隐患。</w:t>
      </w:r>
    </w:p>
    <w:p>
      <w:pPr>
        <w:keepNext w:val="0"/>
        <w:keepLines w:val="0"/>
        <w:pageBreakBefore w:val="0"/>
        <w:widowControl w:val="0"/>
        <w:numPr>
          <w:ilvl w:val="255"/>
          <w:numId w:val="0"/>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一般事故隐患：是指危害和整改难度较小，发现后能够立即整改排除的隐患。</w:t>
      </w:r>
    </w:p>
    <w:p>
      <w:pPr>
        <w:keepNext w:val="0"/>
        <w:keepLines w:val="0"/>
        <w:pageBreakBefore w:val="0"/>
        <w:widowControl w:val="0"/>
        <w:numPr>
          <w:ilvl w:val="255"/>
          <w:numId w:val="0"/>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重大事故隐患：是指危害和整改难度较大，应当全部或者局部停产停业，并经过一定时间整改治理方能排除的隐患，或者因外部因素影响致使生产经营单位自身难以排除的隐患。</w:t>
      </w:r>
    </w:p>
    <w:p>
      <w:pPr>
        <w:numPr>
          <w:ilvl w:val="0"/>
          <w:numId w:val="3"/>
        </w:numPr>
        <w:tabs>
          <w:tab w:val="left" w:pos="1148"/>
        </w:tabs>
        <w:rPr>
          <w:rFonts w:hint="default" w:ascii="Times New Roman" w:hAnsi="Times New Roman" w:eastAsia="宋体" w:cs="Times New Roman"/>
          <w:b/>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b/>
          <w:color w:val="000000" w:themeColor="text1"/>
          <w:sz w:val="28"/>
          <w:szCs w:val="28"/>
          <w:lang w:val="en-US" w:eastAsia="zh-CN"/>
          <w14:textFill>
            <w14:solidFill>
              <w14:schemeClr w14:val="tx1"/>
            </w14:solidFill>
          </w14:textFill>
        </w:rPr>
        <w:t>事故隐患治理整改</w:t>
      </w:r>
    </w:p>
    <w:p>
      <w:pPr>
        <w:keepNext w:val="0"/>
        <w:keepLines w:val="0"/>
        <w:pageBreakBefore w:val="0"/>
        <w:widowControl w:val="0"/>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一般事故隐患：由测绘单位（项目部、部门、区队）负责人或者有关人员立即组织整改。</w:t>
      </w:r>
    </w:p>
    <w:p>
      <w:pPr>
        <w:keepNext w:val="0"/>
        <w:keepLines w:val="0"/>
        <w:pageBreakBefore w:val="0"/>
        <w:widowControl w:val="0"/>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重大事故隐患：由测绘单位主要负责人组织制定并实施事故隐患治理方案。重大事故隐患治理方案应包括但不限于以下内容：</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治理的目标和任务；</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采取的方法和措施；</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经费和物资的落实；</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负责治理的机构和人员；</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治理的时限和要求；</w:t>
      </w:r>
    </w:p>
    <w:p>
      <w:pPr>
        <w:keepNext w:val="0"/>
        <w:keepLines w:val="0"/>
        <w:pageBreakBefore w:val="0"/>
        <w:widowControl w:val="0"/>
        <w:numPr>
          <w:ilvl w:val="0"/>
          <w:numId w:val="4"/>
        </w:numPr>
        <w:tabs>
          <w:tab w:val="left" w:pos="1148"/>
        </w:tabs>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安全措施和应急预案。</w:t>
      </w:r>
    </w:p>
    <w:p>
      <w:pPr>
        <w:tabs>
          <w:tab w:val="left" w:pos="1148"/>
        </w:tabs>
        <w:ind w:firstLine="42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br w:type="page"/>
      </w:r>
    </w:p>
    <w:p>
      <w:pPr>
        <w:pStyle w:val="2"/>
        <w:widowControl/>
        <w:rPr>
          <w:rFonts w:hint="default" w:ascii="Times New Roman" w:hAnsi="Times New Roman" w:cs="Times New Roman"/>
          <w:color w:val="000000" w:themeColor="text1"/>
          <w:lang w:val="en-US" w:eastAsia="zh-CN"/>
          <w14:textFill>
            <w14:solidFill>
              <w14:schemeClr w14:val="tx1"/>
            </w14:solidFill>
          </w14:textFill>
        </w:rPr>
      </w:pPr>
      <w:bookmarkStart w:id="766" w:name="_Toc10320"/>
      <w:bookmarkStart w:id="767" w:name="_Toc8728"/>
      <w:bookmarkStart w:id="768" w:name="_Toc13806"/>
      <w:bookmarkStart w:id="769" w:name="_Toc19617"/>
      <w:bookmarkStart w:id="770" w:name="_Toc31643"/>
      <w:r>
        <w:rPr>
          <w:rFonts w:hint="default" w:ascii="Times New Roman" w:hAnsi="Times New Roman" w:cs="Times New Roman"/>
          <w:color w:val="000000" w:themeColor="text1"/>
          <w:lang w:val="en-US" w:eastAsia="zh-CN"/>
          <w14:textFill>
            <w14:solidFill>
              <w14:schemeClr w14:val="tx1"/>
            </w14:solidFill>
          </w14:textFill>
        </w:rPr>
        <w:t>附录L 评分细则</w:t>
      </w:r>
      <w:bookmarkEnd w:id="728"/>
      <w:bookmarkEnd w:id="766"/>
      <w:bookmarkEnd w:id="767"/>
      <w:bookmarkEnd w:id="768"/>
      <w:bookmarkEnd w:id="769"/>
      <w:bookmarkEnd w:id="770"/>
    </w:p>
    <w:p>
      <w:pPr>
        <w:widowControl/>
        <w:ind w:firstLine="3373" w:firstLineChars="16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w:t>
      </w:r>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r>
        <w:rPr>
          <w:rFonts w:hint="default" w:ascii="Times New Roman" w:hAnsi="Times New Roman" w:cs="Times New Roman"/>
          <w:b/>
          <w:bCs/>
          <w:color w:val="000000" w:themeColor="text1"/>
          <w:lang w:val="en-US" w:eastAsia="zh-CN"/>
          <w14:textFill>
            <w14:solidFill>
              <w14:schemeClr w14:val="tx1"/>
            </w14:solidFill>
          </w14:textFill>
        </w:rPr>
        <w:t>L</w:t>
      </w:r>
    </w:p>
    <w:p>
      <w:pPr>
        <w:widowControl/>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widowControl/>
        <w:ind w:firstLine="3373" w:firstLineChars="1600"/>
        <w:jc w:val="both"/>
        <w:rPr>
          <w:rFonts w:hint="default" w:ascii="Times New Roman" w:hAnsi="Times New Roman" w:cs="Times New Roman"/>
          <w:b/>
          <w:bCs/>
          <w:color w:val="000000" w:themeColor="text1"/>
          <w:lang w:val="en-US" w:eastAsia="zh-CN"/>
          <w14:textFill>
            <w14:solidFill>
              <w14:schemeClr w14:val="tx1"/>
            </w14:solidFill>
          </w14:textFill>
        </w:rPr>
      </w:pPr>
      <w:bookmarkStart w:id="771" w:name="_Toc10884"/>
      <w:bookmarkStart w:id="772" w:name="_Toc31857"/>
      <w:bookmarkStart w:id="773" w:name="_Toc10934"/>
      <w:bookmarkStart w:id="774" w:name="_Toc11484"/>
      <w:bookmarkStart w:id="775" w:name="_Toc7573"/>
      <w:bookmarkStart w:id="776" w:name="_Toc1795"/>
      <w:r>
        <w:rPr>
          <w:rFonts w:hint="default" w:ascii="Times New Roman" w:hAnsi="Times New Roman" w:cs="Times New Roman"/>
          <w:b/>
          <w:bCs/>
          <w:color w:val="000000" w:themeColor="text1"/>
          <w:lang w:val="en-US" w:eastAsia="zh-CN"/>
          <w14:textFill>
            <w14:solidFill>
              <w14:schemeClr w14:val="tx1"/>
            </w14:solidFill>
          </w14:textFill>
        </w:rPr>
        <w:t>评分细则</w:t>
      </w:r>
      <w:bookmarkEnd w:id="771"/>
      <w:bookmarkEnd w:id="772"/>
      <w:bookmarkEnd w:id="773"/>
      <w:bookmarkEnd w:id="774"/>
      <w:bookmarkEnd w:id="775"/>
      <w:bookmarkEnd w:id="776"/>
    </w:p>
    <w:p>
      <w:pPr>
        <w:widowControl/>
        <w:ind w:firstLine="3373" w:firstLineChars="1600"/>
        <w:jc w:val="center"/>
        <w:rPr>
          <w:rFonts w:hint="default" w:ascii="Times New Roman" w:hAnsi="Times New Roman" w:cs="Times New Roman"/>
          <w:b/>
          <w:bCs/>
          <w:color w:val="000000" w:themeColor="text1"/>
          <w:lang w:val="en-US"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一、本评分细则适用于广东省内测绘单位开展安全生产标准化自评、外部评审及安全监管部门监督审核等相关工作。</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二、本标准共有13项一级要素、44项二级要素单位达标标准。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三、单位应根据评定标准的有关要求，根据自评情况，在评定标准表中的自评/评审描述列表中如实进行得分及扣分点描述，并在自评/评审扣分点及原因说明汇总表（见附表）中逐条列出。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评审单位应根据评定标准的有关要求，针对测绘单位实际情况，在评定标准表中的自评/评审描述列中进行扣分点说明、描述，并在自评/评审扣分点及原因说明汇总表（见附表）中逐条列出。</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四、评分标准中涉及的法律法规、部门规章、标准规范应使用最新有效版本。</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五、本评定标准中累计扣分的，均为直到该项考评内容分数扣完为止。有特别说明扣分的（一级要素不得分项和二级要素不得分项为评分方式中斜体加粗的内容），应在该当前一级或二级要素内进行扣分。</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六、评分标准设标准分值（每项评价细则的最高分值，总标准分值为800分）、空项得分（不参与评价内容的该项标准分值）和实际得分（按每项评价细则进行实际评价得出的分数）。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最终评价得分换算成百分制，换算公式如下：</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评价得分（百分制）=实际得分÷（800－空项得分分数之和）×100。最后得分采用四舍五入，小数点后保留一位数。</w:t>
      </w:r>
    </w:p>
    <w:p>
      <w:pPr>
        <w:keepNext w:val="0"/>
        <w:keepLines w:val="0"/>
        <w:pageBreakBefore w:val="0"/>
        <w:widowControl/>
        <w:kinsoku/>
        <w:wordWrap/>
        <w:overflowPunct/>
        <w:topLinePunct w:val="0"/>
        <w:autoSpaceDE/>
        <w:autoSpaceDN/>
        <w:bidi w:val="0"/>
        <w:adjustRightInd/>
        <w:snapToGrid/>
        <w:ind w:firstLine="420" w:firstLineChars="200"/>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七、测绘单位安全生产标准化达标等级分为二级单位、三级单位，其中二级为高级。标准化达标等级（见下表）：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标准化达标等级</w:t>
            </w:r>
          </w:p>
        </w:tc>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标准化得分（X）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二级单位</w:t>
            </w:r>
          </w:p>
        </w:tc>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X≥80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三级单位</w:t>
            </w:r>
          </w:p>
        </w:tc>
        <w:tc>
          <w:tcPr>
            <w:tcW w:w="426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80＞X≥70</w:t>
            </w:r>
          </w:p>
        </w:tc>
      </w:tr>
    </w:tbl>
    <w:p>
      <w:pPr>
        <w:widowControl/>
        <w:ind w:firstLine="420" w:firstLineChars="200"/>
        <w:rPr>
          <w:rFonts w:hint="default" w:ascii="Times New Roman" w:hAnsi="Times New Roman" w:eastAsia="宋体" w:cs="Times New Roman"/>
          <w:color w:val="000000" w:themeColor="text1"/>
          <w:sz w:val="21"/>
          <w:szCs w:val="21"/>
          <w14:textFill>
            <w14:solidFill>
              <w14:schemeClr w14:val="tx1"/>
            </w14:solidFill>
          </w14:textFill>
        </w:rPr>
      </w:pPr>
    </w:p>
    <w:p>
      <w:pPr>
        <w:widowControl/>
        <w:rPr>
          <w:rFonts w:hint="default" w:ascii="Times New Roman" w:hAnsi="Times New Roman" w:eastAsia="宋体" w:cs="Times New Roman"/>
          <w:color w:val="000000" w:themeColor="text1"/>
          <w:sz w:val="21"/>
          <w:szCs w:val="21"/>
          <w14:textFill>
            <w14:solidFill>
              <w14:schemeClr w14:val="tx1"/>
            </w14:solidFill>
          </w14:textFill>
        </w:rPr>
        <w:sectPr>
          <w:footerReference r:id="rId6" w:type="default"/>
          <w:pgSz w:w="11906" w:h="16838"/>
          <w:pgMar w:top="1440" w:right="1633" w:bottom="1440" w:left="1633" w:header="851" w:footer="992" w:gutter="0"/>
          <w:cols w:space="0" w:num="1"/>
          <w:docGrid w:type="lines" w:linePitch="312" w:charSpace="0"/>
        </w:sectPr>
      </w:pPr>
    </w:p>
    <w:p>
      <w:pPr>
        <w:pStyle w:val="2"/>
        <w:widowControl/>
        <w:rPr>
          <w:rFonts w:hint="default" w:ascii="Times New Roman" w:hAnsi="Times New Roman" w:cs="Times New Roman"/>
          <w:color w:val="000000" w:themeColor="text1"/>
          <w:lang w:val="en-US" w:eastAsia="zh-CN"/>
          <w14:textFill>
            <w14:solidFill>
              <w14:schemeClr w14:val="tx1"/>
            </w14:solidFill>
          </w14:textFill>
        </w:rPr>
      </w:pPr>
      <w:bookmarkStart w:id="777" w:name="_Toc32742"/>
      <w:bookmarkStart w:id="778" w:name="_Toc30860"/>
      <w:bookmarkStart w:id="779" w:name="_Toc7570"/>
      <w:bookmarkStart w:id="780" w:name="_Toc16659"/>
      <w:bookmarkStart w:id="781" w:name="_Toc31710"/>
      <w:bookmarkStart w:id="782" w:name="_Toc4409"/>
      <w:bookmarkStart w:id="783" w:name="_Toc21856"/>
      <w:bookmarkStart w:id="784" w:name="_Toc20681"/>
      <w:bookmarkStart w:id="785" w:name="_Toc24146"/>
      <w:bookmarkStart w:id="786" w:name="_Toc5434"/>
      <w:bookmarkStart w:id="787" w:name="_Toc17085"/>
      <w:bookmarkStart w:id="788" w:name="_Toc3576"/>
      <w:bookmarkStart w:id="789" w:name="_Toc19687"/>
      <w:bookmarkStart w:id="790" w:name="_Toc6736"/>
      <w:bookmarkStart w:id="791" w:name="_Toc4822"/>
      <w:bookmarkStart w:id="792" w:name="_Toc15499"/>
      <w:bookmarkStart w:id="793" w:name="_Toc133074911"/>
      <w:bookmarkStart w:id="794" w:name="_Toc32061"/>
      <w:bookmarkStart w:id="795" w:name="_Toc22068"/>
      <w:bookmarkStart w:id="796" w:name="_Toc9615"/>
      <w:bookmarkStart w:id="797" w:name="_Toc3434"/>
      <w:bookmarkStart w:id="798" w:name="_Toc30067"/>
      <w:bookmarkStart w:id="799" w:name="_Toc10951"/>
      <w:bookmarkStart w:id="800" w:name="_Toc6252"/>
      <w:bookmarkStart w:id="801" w:name="_Toc20752"/>
      <w:bookmarkStart w:id="802" w:name="_Toc8963"/>
      <w:r>
        <w:rPr>
          <w:rFonts w:hint="default" w:ascii="Times New Roman" w:hAnsi="Times New Roman" w:cs="Times New Roman"/>
          <w:color w:val="000000" w:themeColor="text1"/>
          <w:lang w:val="en-US" w:eastAsia="zh-CN"/>
          <w14:textFill>
            <w14:solidFill>
              <w14:schemeClr w14:val="tx1"/>
            </w14:solidFill>
          </w14:textFill>
        </w:rPr>
        <w:t>附录M 评分表</w:t>
      </w:r>
      <w:bookmarkEnd w:id="777"/>
      <w:bookmarkEnd w:id="778"/>
      <w:bookmarkEnd w:id="779"/>
      <w:bookmarkEnd w:id="780"/>
      <w:bookmarkEnd w:id="781"/>
      <w:bookmarkEnd w:id="782"/>
    </w:p>
    <w:p>
      <w:pPr>
        <w:widowControl/>
        <w:ind w:firstLine="5692" w:firstLineChars="27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w:t>
      </w:r>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Fonts w:hint="default" w:ascii="Times New Roman" w:hAnsi="Times New Roman" w:cs="Times New Roman"/>
          <w:b/>
          <w:bCs/>
          <w:color w:val="000000" w:themeColor="text1"/>
          <w:lang w:val="en-US" w:eastAsia="zh-CN"/>
          <w14:textFill>
            <w14:solidFill>
              <w14:schemeClr w14:val="tx1"/>
            </w14:solidFill>
          </w14:textFill>
        </w:rPr>
        <w:t>M</w:t>
      </w:r>
    </w:p>
    <w:p>
      <w:pPr>
        <w:widowControl/>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widowControl/>
        <w:jc w:val="center"/>
        <w:rPr>
          <w:rFonts w:hint="default" w:ascii="Times New Roman" w:hAnsi="Times New Roman" w:eastAsia="黑体" w:cs="Times New Roman"/>
          <w:b/>
          <w:color w:val="000000" w:themeColor="text1"/>
          <w:sz w:val="21"/>
          <w:szCs w:val="21"/>
          <w14:textFill>
            <w14:solidFill>
              <w14:schemeClr w14:val="tx1"/>
            </w14:solidFill>
          </w14:textFill>
        </w:rPr>
      </w:pPr>
      <w:bookmarkStart w:id="803" w:name="_Toc9732"/>
      <w:bookmarkStart w:id="804" w:name="_Toc2294"/>
      <w:bookmarkStart w:id="805" w:name="_Toc20397"/>
      <w:bookmarkStart w:id="806" w:name="_Toc8711"/>
      <w:bookmarkStart w:id="807" w:name="_Toc22200"/>
      <w:bookmarkStart w:id="808" w:name="_Toc24690"/>
      <w:r>
        <w:rPr>
          <w:rFonts w:hint="default" w:ascii="Times New Roman" w:hAnsi="Times New Roman" w:cs="Times New Roman"/>
          <w:b/>
          <w:bCs/>
          <w:color w:val="000000" w:themeColor="text1"/>
          <w:lang w:val="en-US" w:eastAsia="zh-CN"/>
          <w14:textFill>
            <w14:solidFill>
              <w14:schemeClr w14:val="tx1"/>
            </w14:solidFill>
          </w14:textFill>
        </w:rPr>
        <w:t>评分表</w:t>
      </w:r>
      <w:bookmarkEnd w:id="803"/>
      <w:bookmarkEnd w:id="804"/>
      <w:bookmarkEnd w:id="805"/>
      <w:bookmarkEnd w:id="806"/>
      <w:bookmarkEnd w:id="807"/>
      <w:bookmarkEnd w:id="808"/>
    </w:p>
    <w:p>
      <w:pPr>
        <w:widowControl/>
        <w:rPr>
          <w:rFonts w:hint="default" w:ascii="Times New Roman" w:hAnsi="Times New Roman" w:eastAsia="宋体" w:cs="Times New Roman"/>
          <w:color w:val="000000" w:themeColor="text1"/>
          <w:sz w:val="21"/>
          <w:szCs w:val="21"/>
          <w:u w:val="single"/>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自评/评审单位：</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p>
    <w:p>
      <w:pPr>
        <w:widowControl/>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自评/评审时间：从</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年</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月</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日 到</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年</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月</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 xml:space="preserve">日 </w:t>
      </w:r>
    </w:p>
    <w:p>
      <w:pPr>
        <w:widowControl/>
        <w:rPr>
          <w:rFonts w:hint="default" w:ascii="Times New Roman" w:hAnsi="Times New Roman" w:eastAsia="宋体" w:cs="Times New Roman"/>
          <w:color w:val="000000" w:themeColor="text1"/>
          <w:sz w:val="21"/>
          <w:szCs w:val="21"/>
          <w:u w:val="single"/>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自评/评审组组长：</w:t>
      </w:r>
      <w:r>
        <w:rPr>
          <w:rFonts w:hint="default" w:ascii="Times New Roman" w:hAnsi="Times New Roman" w:eastAsia="宋体" w:cs="Times New Roman"/>
          <w:color w:val="000000" w:themeColor="text1"/>
          <w:sz w:val="21"/>
          <w:szCs w:val="21"/>
          <w:u w:val="single"/>
          <w14:textFill>
            <w14:solidFill>
              <w14:schemeClr w14:val="tx1"/>
            </w14:solidFill>
          </w14:textFill>
        </w:rPr>
        <w:t xml:space="preserve"> </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14:textFill>
            <w14:solidFill>
              <w14:schemeClr w14:val="tx1"/>
            </w14:solidFill>
          </w14:textFill>
        </w:rPr>
        <w:t>自评/评审组主要成员</w:t>
      </w:r>
      <w:r>
        <w:rPr>
          <w:rFonts w:hint="default" w:ascii="Times New Roman" w:hAnsi="Times New Roman" w:eastAsia="宋体" w:cs="Times New Roman"/>
          <w:color w:val="000000" w:themeColor="text1"/>
          <w:sz w:val="21"/>
          <w:szCs w:val="21"/>
          <w:u w:val="single"/>
          <w:lang w:eastAsia="zh-CN"/>
          <w14:textFill>
            <w14:solidFill>
              <w14:schemeClr w14:val="tx1"/>
            </w14:solidFill>
          </w14:textFill>
        </w:rPr>
        <w:t>：</w:t>
      </w:r>
      <w:r>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828"/>
        <w:gridCol w:w="4199"/>
        <w:gridCol w:w="816"/>
        <w:gridCol w:w="5101"/>
        <w:gridCol w:w="1524"/>
        <w:gridCol w:w="8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一级</w:t>
            </w:r>
          </w:p>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要素</w:t>
            </w:r>
          </w:p>
        </w:tc>
        <w:tc>
          <w:tcPr>
            <w:tcW w:w="828"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二级要素</w:t>
            </w:r>
          </w:p>
        </w:tc>
        <w:tc>
          <w:tcPr>
            <w:tcW w:w="4199"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考评标准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标准分值</w:t>
            </w:r>
          </w:p>
        </w:tc>
        <w:tc>
          <w:tcPr>
            <w:tcW w:w="5101"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评分方式</w:t>
            </w:r>
          </w:p>
        </w:tc>
        <w:tc>
          <w:tcPr>
            <w:tcW w:w="1524"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自评/评审描述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实际得分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1目标职责</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1.1目标</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1.1.1测绘单位根据自身安全生产实际和行业安全管理要求，制定总体和年度安全生产目标，并纳入单位总体生产经营目标。</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目标中仅有事故等结果性指标，无安全生产工作的具体过程性指标的，扣1分。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1.1.2明确目标的制定、分解、实施、检查、考核等环节要求。</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缺少制定、分解、实施、检查、考核等环节内容的，发现一项扣1分。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1.1.3按照所属基层单位和部门在测绘工作活动中的职能，制定安全生产目标指标考核办法。</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未制定安全生产目标指标考核办法的，不得分。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1.1.4定期对安全生产目标、指标实施情况进行评估和考核，并结合实际及时进行调整。</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未按规定对实施情况进行定期评估和考核的，不得分；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调整后的目标与指标以及实施计划未正式发布的，扣2分。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1.2机构和职责</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1.2.1 落实安全生产组织领导机构，成立安全生产委员会。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未成立安全生产委员会的，不得分；未定期召开安全专题会议的，不得分；主要负责人未参加会议的，不得分；无会议记录或会议纪要的，不得分；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未跟踪上次会议提出要求的落实情况或未制订新的工作要求，不得分；未完成工作无相应措施或调整计划的，不得分。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1.2.2 设置安全生产管理机构，配备相应的专职或兼职安全生产管理人员。</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从业人员超过一百人的单位未设置安全生产管理机构或配备专职安全生产管理人员的、从业人员在一百人以下单位未配备专职或者兼职的安全生产管理人员，</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管理机构成员未包括主要负责人和部门负责人等相关人员的，不得分。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1.2.3 主要负责人全面负责安全生产工作，并履行相应责任和义务；将安全生产标准化建设纳入年度重点，统筹审定方案并统筹安全管控与跨部门协调。</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未制定单位主要负责人安全生产职责（责任制）实施计划及考核标准的，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单位主要负责人安全生产职责（责任制）不符合法律法规要求的，未履行相关责任和义务，不得分。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1.2.4 分管负责人应对各自职责范围内的安全生产工作负责。</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各级管理人员应按照安全生产责任制的相关要求，履行其安全生产职责。</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单位分管负责人及各级管理人员的安全生产职责（责任制）未全覆盖的，发现一人扣1分；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发现单位分管负责人及各级管理人员有履行职责不到位现象的，发现一人扣1分。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1.2.5建立健全落实全员安全生产责任制，明确各级部门和从业人员的安全生产职责。</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全员安全生产责任制未正式发布生效的，不得分；未层层落实签订全员安全生产责任书的，不得分。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1.2.6对职责的适宜性、履职情况进行定期评估和监督考核。</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责任制内容与岗位（含职能部门下属岗位）工作实际不相符的，发现一处扣1分。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14</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1"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1.3工作方案和工作计划</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1.3.1安全生产管理机构或安全生产管理人员每年应制定本单位年度安全生产工作方案，明确安全工作目标、责任人、时间、经费投入、考核等内容。</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未制定本单位年度安全生产工作方案的，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安全工作目标、责任人、时间、经费投入、考核等内容，缺一项扣1分，缺两项不得分。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1.3.2 </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制定</w:t>
            </w:r>
            <w:r>
              <w:rPr>
                <w:rFonts w:hint="default" w:ascii="Times New Roman" w:hAnsi="Times New Roman" w:eastAsia="宋体" w:cs="Times New Roman"/>
                <w:color w:val="000000" w:themeColor="text1"/>
                <w:sz w:val="21"/>
                <w:szCs w:val="21"/>
                <w14:textFill>
                  <w14:solidFill>
                    <w14:schemeClr w14:val="tx1"/>
                  </w14:solidFill>
                </w14:textFill>
              </w:rPr>
              <w:t>工作计划，计划应明确工作内容、资源需求、责任主体、完成时限、评价方式，以及安全目标措施与业务过程的融合方式</w:t>
            </w:r>
            <w:r>
              <w:rPr>
                <w:rFonts w:hint="eastAsia"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未围绕工作目标制定年度、季度、月度工作计划的，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计划内容缺少</w:t>
            </w:r>
            <w:r>
              <w:rPr>
                <w:rFonts w:hint="default" w:ascii="Times New Roman" w:hAnsi="Times New Roman" w:eastAsia="宋体" w:cs="Times New Roman"/>
                <w:color w:val="000000" w:themeColor="text1"/>
                <w:sz w:val="21"/>
                <w:szCs w:val="21"/>
                <w14:textFill>
                  <w14:solidFill>
                    <w14:schemeClr w14:val="tx1"/>
                  </w14:solidFill>
                </w14:textFill>
              </w:rPr>
              <w:t>工作内容、资源需求、责任主体、完成时限、评价方式，以及安全目标措施与业务过程的融合方式</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的，缺少一项扣1分。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2制度化管理</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2.1法规标准识别</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2.1.1测绘单位应建立识别和获取适用的安全生产法律法规、标准规范的制度，安全生产管理机构或安全生产管理人员应确定获取的渠道、方式，及时识别和获取适用的安全生产法律法规、标准规章。</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制度未明确主管部门、获取渠道、方式等内容的，发现一项扣1分。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2.1.2安全生产管理机构或安全生产管理人员应将适用的安全生产法律法规、标准规章及其他要求及时传达给从业人员。</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未传达给从业人员的，发现一人次扣1分。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2.1.3测绘单位应遵守安全生产法律法规、标准规章，并将相关要求及时转化为本单位安全生产管理制度，贯彻到各项工作中。</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规章制度、操作规程等文件有违反安全生产法律法规、标准规范等内容的，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未及时转化的，发现一处扣1分。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625"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2.2规章制度</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2.2.1测绘单位应建立健全安全生产规章制度，并发放到相关工作岗位，让从业人员全员参与执行，规范从业人员的安全生产作业行为。</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规章制度完全由第三方机构、人员编制的，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一级要素不得分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规章制度与单位实际不符的，发现一处扣2分，发现两处不得分。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6"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pStyle w:val="11"/>
              <w:keepNext w:val="0"/>
              <w:keepLines w:val="0"/>
              <w:widowControl/>
              <w:suppressLineNumbers w:val="0"/>
              <w:shd w:val="clear" w:color="auto" w:fill="auto"/>
              <w:tabs>
                <w:tab w:val="left" w:leader="dot" w:pos="3383"/>
              </w:tabs>
              <w:spacing w:before="0" w:beforeAutospacing="0" w:after="0" w:afterAutospacing="0" w:line="24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0"/>
                <w:sz w:val="21"/>
                <w:szCs w:val="21"/>
                <w:lang w:bidi="zh-TW"/>
                <w14:textFill>
                  <w14:solidFill>
                    <w14:schemeClr w14:val="tx1"/>
                  </w14:solidFill>
                </w14:textFill>
              </w:rPr>
              <w:t>2.2.2安全生产管理制度包括但不限于以下制度：全员安全生产责任制度、安全教育培训制度、隐患排查治理制度、安全风险分级管控制度、安全检查制度、安全例会制度、安全生产档案管理制度、危险作业管理制度、测绘仪器设备安全管理制度、外业作业人员安全防护用品管理制度、安全投入制度、事故报告调查和处理制度、安全生产奖惩考核制度、职业健康管理制度、信息数据安全保密制度、应急管理制度。</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制度未正式发布生效的，不得分；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缺少一项制度扣0.5分；制度内容不符合相关规定的，发现一处扣0.5分；未按制度执行的，发现一处扣1分。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2.3操作规程</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2.3.1安全生产管理机构或安全生产管理人员应根据本单位的特点，组织相关人员编制安全操作规程，报本单位主要负责人审批后发放到相关岗位，并严格执行。</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岗位安全生产操作规程未正式发布生效的，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岗位作业流程、风险分析、安全要点、职业病防护要求、严禁事项、应急措施等内容的，发现一项扣0.5分；内容与岗位实际不相符的，发现一项扣0.5分；未发放到岗位员工的，发现一人扣0.5分；无发放记录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2.3.2在新技术、新设备设施投入使用前，组织编制、修订相应的安全生产操作规程，确保其适宜性和有效性。</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操作规程不符合新技术、新设备设施投入的，发现一项扣1分；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无修订记录的，扣1分。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6</w:t>
            </w:r>
          </w:p>
        </w:tc>
        <w:tc>
          <w:tcPr>
            <w:tcW w:w="6625"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2.4文档管理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2.4.1测绘单位应建立主要安全生产过程、事件、活动、检查、会议的安全记录档案，并加强对安全记录的有效管理。记录内容至少包含下列内容：时间、地点、内容、参加人员、签名和考核结果等情况。</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运行过程与结果记录不全、未保存档案的，不得分。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2.4.2测绘单位应每年至少组织</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次对安全生产法律法规、标准规范、安全操作规程等的执行情况进行检查、考核、评估。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对安全生产法律法规、标准规范、安全操作规程等的适宜性、有效性和执行情况进行评估少于每年1次的，不得分；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评估报告缺少内容的，发现一项扣1分；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评估结果与实际不符的，不得分。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2.4.3安全生产管理机构或安全生产管理人员应根据法律法规、标准规章的变化情况和执行情况进行评估，安全检查反馈的问题、行业生产安全事故案例、绩效评定结果等，及时组织相关人员或第三方技术服务机构对安全生产规章制度和安全操作规程进行修订，确保其有效和适用，保证每个岗位所使用的为最新有效版本。</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未根据评估结果、安全检查情况、自评结果、评审情况、事故情况等，组织对安全生产规章制度、操作规程等进行修订的，不得分；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规章制度、操作规程内容与国家法律法规、地方法规、单位生产经营实际不符的，发现一项扣0.5分。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36</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3教育培训</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3.1教育培训管理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3.1.1测绘单位应明确安全生产教育和培训管理部门，按规定及岗位需要，定期识别安全生产教育和培训需要，制定、建立安全生产教育和培训常态化机制，将安全生产监督管理内容纳入单位员工培训，把安全知识普及、岗位生产教育、职业健康等纳入本单位从业人员教育培训。</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未明确安全教育培训主管部门的，不得分；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未识别从业人员培训需求的，不得分；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需求识别不充分的，发现一项扣0.5分；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无培训计划的，不得分；培训计划内容有缺失的，发现一处扣0.5分。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3.1.2测绘单位应当建立安全生产教育和培训档案，如实记录安全生产教育和培训的时间、内容、参加人员及考核结果等情况，并对培训效果进行评估和改进。</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未建立从业人员安全教育培训档案的，不得分；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未对培训效果进行评估的，发现一处扣0.5分；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未对发现的问题作出改进的，不得分。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3.2</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三级安全教育培训</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新入职员工要严格落实安全生产教育培训制度，切实做到先培训、后上岗，严格执行单位、部门、班组三级安全生产教育和培训，并做好相关记录并存档。</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制度不符合《生产经营单位安全培训规定》（国家安全监管总局令第3号）、《安全生产培训管理办法》（国家安全监管总局令第44号）等规定的，不得分；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发现新入职员工没有开展三级安全教育的，发现1位员工扣0.5分。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3.3</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全员安全教育培训</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全员安全生产教育培训</w:t>
            </w:r>
            <w:r>
              <w:rPr>
                <w:rFonts w:hint="default" w:ascii="Times New Roman" w:hAnsi="Times New Roman" w:eastAsia="宋体" w:cs="Times New Roman"/>
                <w:color w:val="000000" w:themeColor="text1"/>
                <w:sz w:val="21"/>
                <w:szCs w:val="21"/>
                <w14:textFill>
                  <w14:solidFill>
                    <w14:schemeClr w14:val="tx1"/>
                  </w14:solidFill>
                </w14:textFill>
              </w:rPr>
              <w:t>原则上每年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不少于12学时，</w:t>
            </w:r>
            <w:r>
              <w:rPr>
                <w:rFonts w:hint="default" w:ascii="Times New Roman" w:hAnsi="Times New Roman" w:eastAsia="宋体" w:cs="Times New Roman"/>
                <w:color w:val="000000" w:themeColor="text1"/>
                <w:sz w:val="21"/>
                <w:szCs w:val="21"/>
                <w14:textFill>
                  <w14:solidFill>
                    <w14:schemeClr w14:val="tx1"/>
                  </w14:solidFill>
                </w14:textFill>
              </w:rPr>
              <w:t>并提供相应的资源保证</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培训学时少于12学时的，扣1分；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没有开展全员安全生产教育培训的，不得分。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3.4</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主要负责人和安全管理人员</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3.4.1测绘单位主要负责人和安全生产管理人员必须具备与本单位所从事的经营活动相适应的安全生产知识和管理能力。安全生产管理人员应进行安全生产知识和管理能力的考核，考核合格后方可任职。</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抽查单位主要负责人和安全生产管理人员，对安全生产目标与指标、责任制、主要规章制度、风险辨识情况、职业卫生情况等内容不熟悉的，发现一人扣0.5分。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3.4.2</w:t>
            </w:r>
            <w:r>
              <w:rPr>
                <w:rFonts w:hint="default" w:ascii="Times New Roman" w:hAnsi="Times New Roman" w:eastAsia="宋体" w:cs="Times New Roman"/>
                <w:color w:val="000000" w:themeColor="text1"/>
                <w:sz w:val="21"/>
                <w:szCs w:val="21"/>
                <w14:textFill>
                  <w14:solidFill>
                    <w14:schemeClr w14:val="tx1"/>
                  </w14:solidFill>
                </w14:textFill>
              </w:rPr>
              <w:t>对其安全生产知识和管理能力进行考核，考核合格后方可任职</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主要负责人和安全生产管理人员没有参与培训，安全生产管理人员没有取得考核合格记录或相关证书的，不得分。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生产作业人员</w:t>
            </w:r>
          </w:p>
        </w:tc>
        <w:tc>
          <w:tcPr>
            <w:tcW w:w="4199" w:type="dxa"/>
            <w:vAlign w:val="center"/>
          </w:tcPr>
          <w:p>
            <w:pPr>
              <w:keepNext w:val="0"/>
              <w:keepLines w:val="0"/>
              <w:widowControl/>
              <w:suppressLineNumbers w:val="0"/>
              <w:spacing w:before="0" w:beforeAutospacing="0" w:after="0" w:afterAutospacing="0"/>
              <w:ind w:left="0" w:right="0"/>
              <w:jc w:val="both"/>
              <w:rPr>
                <w:rFonts w:hint="eastAsia"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3.5.1</w:t>
            </w:r>
            <w:r>
              <w:rPr>
                <w:rFonts w:hint="default" w:ascii="Times New Roman" w:hAnsi="Times New Roman" w:eastAsia="宋体" w:cs="Times New Roman"/>
                <w:color w:val="000000" w:themeColor="text1"/>
                <w:sz w:val="21"/>
                <w:szCs w:val="21"/>
                <w14:textFill>
                  <w14:solidFill>
                    <w14:schemeClr w14:val="tx1"/>
                  </w14:solidFill>
                </w14:textFill>
              </w:rPr>
              <w:t>测绘单位应对操作岗位人员进行安全生产教育和测绘技能培训，使其熟悉有关的安全生产规章制度和安全操作规程，并确认其能力符合岗位要求</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抽查生产作业人员，发现没有对操作岗位人员进行安全生产教育和测绘技能培训的，发现一人扣0.5分。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3.5.2</w:t>
            </w:r>
            <w:r>
              <w:rPr>
                <w:rFonts w:hint="default" w:ascii="Times New Roman" w:hAnsi="Times New Roman" w:eastAsia="宋体" w:cs="Times New Roman"/>
                <w:color w:val="000000" w:themeColor="text1"/>
                <w:sz w:val="21"/>
                <w:szCs w:val="21"/>
                <w14:textFill>
                  <w14:solidFill>
                    <w14:schemeClr w14:val="tx1"/>
                  </w14:solidFill>
                </w14:textFill>
              </w:rPr>
              <w:t>未经安全生产教育和培训，或培训考核不合格的从业人员，不得上岗作业。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抽查生产作业人员，发现培训考核不合格的，不得分。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3.6</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转岗、离岗作业人员</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转岗、离岗一年以上重新上岗者，应进行部门、班组级安全生产教育和培训，经考核合格后，方可上岗作业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未按规定对内部调整工作岗位或离岗一年以上重新上岗的从业人员进行培训考核或培训不合格就上岗的，发现一人扣0.5分；被抽查人员对教育培训内容不清楚的，发现一人扣0.5分。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3.7</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劳务派遣人员和实习生</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如有劳务派遣人员则</w:t>
            </w:r>
            <w:r>
              <w:rPr>
                <w:rFonts w:hint="default" w:ascii="Times New Roman" w:hAnsi="Times New Roman" w:eastAsia="宋体" w:cs="Times New Roman"/>
                <w:color w:val="000000" w:themeColor="text1"/>
                <w:sz w:val="21"/>
                <w:szCs w:val="21"/>
                <w14:textFill>
                  <w14:solidFill>
                    <w14:schemeClr w14:val="tx1"/>
                  </w14:solidFill>
                </w14:textFill>
              </w:rPr>
              <w:t>应建立劳务派遣人员安全管理制度，应当将被派遣劳动人员纳入本单位从业人员统一管理，对被派遣劳动人员进行岗位安全操作规程和安全操作技能的教育和培训。测绘单位接收学生实习的，应当对实习学生进行相应的安全生产教育和培训，提供必要的劳动防护用品</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劳务派遣人员进入作业现场前未进行安全教育培训的，发现一人扣0.5分；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培训内容缺少一项扣0.5分；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没有对实习生进行安全教育培训的，不得分；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没有对实习生提供劳动防护用品的，不得分。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4现场安全管理</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4.1外业作业安全管理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4.1.1测绘单位应建立安全生产责任制度，在</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出</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测前做好相关准备工作；</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野外测绘作业须有两人</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及</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以上。</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准备工作包括：掌握人员健康情况；按规定配发劳动防护用品、用具；确定作业小组安全员和安全职责；进行出测前安全生产教育；做好测区安全风险评估并确定好具体的安全措施；组织赴疫区和有可能散发有毒有害气体地区作业人员学习防疫和防毒害知识，并接种相应的疫苗和配备防毒装具，确保出测作业人员的安全。以上内容缺少一项扣0.5分；</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单人进行野外测绘作业的，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4.1.2外业作业人员，应根据出测地区（区域）的自然、地理、作业空间、天气、作业距离等条件要求进行作业环境的安全确认和身体健康的检查，不符合环境安全和身体健康的，禁止从事测绘作业活动：</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（一）测绘涉及有限空间、井口管线及重点行业区域作业，须提前风险研判、审批报备，做好警戒通风、监护防护及应急准备；开盖占道作业，同步落实防坠落、防中毒及交通警示措施。</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（二）对可能涉水、登高等危险性较大的测绘项目需制定具体的安全措施方案。</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（三）测绘航空摄影、海洋测绘项目须编制专项安全方案。航摄及无人机作业人员须持证实名、购买人身、设备及第三者责任险，通过 UOM 平台核查空域、适飞条件及各类管控限制；超豁免、涉管制空域须依规报批，按航线作业并全程轨迹追踪。海洋测绘需强化极端天气预警，严格落实人员、设备及船舶安全保障。</w:t>
            </w:r>
          </w:p>
          <w:p>
            <w:pPr>
              <w:pStyle w:val="11"/>
              <w:keepNext w:val="0"/>
              <w:keepLines w:val="0"/>
              <w:suppressLineNumbers w:val="0"/>
              <w:shd w:val="clear" w:color="auto" w:fill="auto"/>
              <w:tabs>
                <w:tab w:val="left" w:leader="dot" w:pos="3383"/>
              </w:tabs>
              <w:spacing w:before="0" w:beforeAutospacing="0" w:after="0" w:afterAutospacing="0" w:line="240" w:lineRule="auto"/>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（四）对人员密集场所、高危地区测绘、应急测绘、境外测绘等进行安全风险管控。</w:t>
            </w:r>
          </w:p>
          <w:p>
            <w:pPr>
              <w:pStyle w:val="11"/>
              <w:keepNext w:val="0"/>
              <w:keepLines w:val="0"/>
              <w:suppressLineNumbers w:val="0"/>
              <w:shd w:val="clear" w:color="auto" w:fill="auto"/>
              <w:tabs>
                <w:tab w:val="left" w:leader="dot" w:pos="3383"/>
              </w:tabs>
              <w:spacing w:before="0" w:beforeAutospacing="0" w:after="0" w:afterAutospacing="0" w:line="240" w:lineRule="auto"/>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（五）对一些重大重点的测绘工程项目，应制定专项安全措施方案。</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作业人员未进行作业环境安全确认和身体健康检查的，不得分；涉及有限空间、地下管线及井口周边测量、无人机测量、海洋测绘等高风险情形未制定专项安全措施或未落实审批、申报、监护、警戒、检测、通信定位等管控要求的，发现一处扣2分；造成重大风险失控的，二级要素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4.1.3测绘单位应依法合理进行生产作业组织和管理，加强对从业人员作业行为的安全管理，对设备设施、作业环境等进行安全风险辨识，采取相应的措施，控制作业行为安全风险。</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未对设备设施、作业环境等进行安全风险辨识的，不得分；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未根据安全风险采取相应的措施，控制作业行为安全风险的，不得分；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4.1.4测绘单位应监督、指导外业作业人员遵守安全生产和职业卫生规章制度，操作规程，杜绝违章指挥、违规作业和违反劳动纪律的“三违”行为。</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外业作业人员有“三违”行为记录的，发现一人扣1分。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4.1.5</w:t>
            </w:r>
            <w:r>
              <w:rPr>
                <w:rFonts w:hint="default" w:ascii="Times New Roman" w:hAnsi="Times New Roman" w:eastAsia="宋体" w:cs="Times New Roman"/>
                <w:color w:val="000000" w:themeColor="text1"/>
                <w:sz w:val="21"/>
                <w:szCs w:val="21"/>
                <w14:textFill>
                  <w14:solidFill>
                    <w14:schemeClr w14:val="tx1"/>
                  </w14:solidFill>
                </w14:textFill>
              </w:rPr>
              <w:t>测绘单位应为外业作业人员配备符合</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《个体防护装备配备规范 第1部分：总则》（GB 39800.1-2020）的并</w:t>
            </w:r>
            <w:r>
              <w:rPr>
                <w:rFonts w:hint="default" w:ascii="Times New Roman" w:hAnsi="Times New Roman" w:eastAsia="宋体" w:cs="Times New Roman"/>
                <w:color w:val="000000" w:themeColor="text1"/>
                <w:sz w:val="21"/>
                <w:szCs w:val="21"/>
                <w14:textFill>
                  <w14:solidFill>
                    <w14:schemeClr w14:val="tx1"/>
                  </w14:solidFill>
                </w14:textFill>
              </w:rPr>
              <w:t>与岗位安全风险相适应的个体防护装备与用品</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并在作业过程中</w:t>
            </w:r>
            <w:r>
              <w:rPr>
                <w:rFonts w:hint="default" w:ascii="Times New Roman" w:hAnsi="Times New Roman" w:eastAsia="宋体" w:cs="Times New Roman"/>
                <w:color w:val="000000" w:themeColor="text1"/>
                <w:sz w:val="21"/>
                <w:szCs w:val="21"/>
                <w14:textFill>
                  <w14:solidFill>
                    <w14:schemeClr w14:val="tx1"/>
                  </w14:solidFill>
                </w14:textFill>
              </w:rPr>
              <w:t>监督、指导外业作业人员按照规定正确佩戴、使用、维护、保养和检查个体防护装备用品，确保安全作业。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没有为外业作业人员配备与岗位安全风险相适应的、符合GB 39800.1</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-2020</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规定的个体防护装备与用品的，不得分；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抽查外业人员对个体防护装备用品的使用穿戴熟练程度，不熟练的，发现一人次扣1分，发现两人次不得分。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4.1.6测绘单位应建立健全外业作业班组安全活动管理制度，开展岗位安全风险辨识、隐患排查、治理，开展岗位安全达标活动，明确岗位安全达标的内容和要求。</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没有开展岗位安全风险辨识和隐患排查、治理和岗位安全达标活动的，不得分。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4.1.7外业作业人员应熟练掌握本岗位安全职责、安全生产和职业卫生要求、安全风险及管控措施，测绘设备仪器、防护用品的使用，明确应急处置措施，提升自救互救能力。</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抽查外业作业人员，未熟练掌握本岗位安全职责、安全生产和职业卫生要求、安全风险及管控措施、测绘设备仪器、防护用品的使用，未明确应急处置措施的，发现一人次扣0.5分。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4.1.8外业作业班组应按照有关规定开展安全生产和职业卫生安全教育、培训，安全技能训练、岗位作业危险预知，并做好相关记录和存档工作。</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外业作业班组未按照有关规定开展安全生产和职业卫生安全教育、培训，安全技能训练、岗位作业危险预知并做好记录、存档的，不得分；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培训相关记录不全或没有进行记录的，不得分。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4.1.9测绘单位应建立健全相关方的安全管理制度，将相关方的安全生产和职业卫生纳入本单位统一管理，重点对相关方资格预审、选择、外业作业人员的教育培训、作业过程检查监督等进行管理。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未对相关方的安全生产和职业卫生纳入本单位统一管理的，不得分。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4.1.10测绘单位不得将测绘项目发包给不具备安全生产条件或者相应资质的单位或者个人。</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将测绘项目发包给不具备相应资质的单位或个人的，不得分；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未对相关方资格预审、选择、外业作业人员的教育培训、作业过程检查监督等进行管理，没有相关记录或记录不全的，不得分。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4.1.11测绘单位须健全相关方安全管理制度，统一纳入安全生产和职业卫生管理，完善准入、考评及退出机制，从严资质、人员、设备及从业记录审核，严禁违规发包。签订安全管理协议，统一监管巡查，隐患纳入清单闭环整改，对违规失责相关方依规暂停或清退。</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未制定相关方安全管理制度，没有与相关方签订安全生产管理协议，或协议中没有对双方的安全生产职责进行明确规定的，不得分；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未定期对相关方进行安全检查的，不得分；未督促相关方及时整改安全问题，没有做好闭环管理的，不得分。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pStyle w:val="11"/>
              <w:keepNext w:val="0"/>
              <w:keepLines w:val="0"/>
              <w:suppressLineNumbers w:val="0"/>
              <w:shd w:val="clear" w:color="auto" w:fill="auto"/>
              <w:tabs>
                <w:tab w:val="left" w:leader="dot" w:pos="3383"/>
              </w:tabs>
              <w:spacing w:before="0" w:beforeAutospacing="0" w:after="0" w:afterAutospacing="0" w:line="240" w:lineRule="auto"/>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4</w:t>
            </w:r>
            <w:r>
              <w:rPr>
                <w:rFonts w:hint="default" w:ascii="Times New Roman" w:hAnsi="Times New Roman" w:eastAsia="宋体" w:cs="Times New Roman"/>
                <w:color w:val="000000" w:themeColor="text1"/>
                <w:kern w:val="0"/>
                <w:sz w:val="21"/>
                <w:szCs w:val="21"/>
                <w:lang w:bidi="zh-TW"/>
                <w14:textFill>
                  <w14:solidFill>
                    <w14:schemeClr w14:val="tx1"/>
                  </w14:solidFill>
                </w14:textFill>
              </w:rPr>
              <w:t>.</w:t>
            </w:r>
            <w:r>
              <w:rPr>
                <w:rFonts w:hint="default" w:ascii="Times New Roman" w:hAnsi="Times New Roman" w:eastAsia="宋体" w:cs="Times New Roman"/>
                <w:color w:val="000000" w:themeColor="text1"/>
                <w:kern w:val="0"/>
                <w:sz w:val="21"/>
                <w:szCs w:val="21"/>
                <w:lang w:val="en-US" w:eastAsia="zh-CN" w:bidi="zh-TW"/>
                <w14:textFill>
                  <w14:solidFill>
                    <w14:schemeClr w14:val="tx1"/>
                  </w14:solidFill>
                </w14:textFill>
              </w:rPr>
              <w:t>1.</w:t>
            </w:r>
            <w:r>
              <w:rPr>
                <w:rFonts w:hint="default" w:ascii="Times New Roman" w:hAnsi="Times New Roman" w:eastAsia="宋体" w:cs="Times New Roman"/>
                <w:color w:val="000000" w:themeColor="text1"/>
                <w:kern w:val="0"/>
                <w:sz w:val="21"/>
                <w:szCs w:val="21"/>
                <w:lang w:bidi="zh-TW"/>
                <w14:textFill>
                  <w14:solidFill>
                    <w14:schemeClr w14:val="tx1"/>
                  </w14:solidFill>
                </w14:textFill>
              </w:rPr>
              <w:t>12 外业作业期间应尽量选择就近宾馆入住，如无宾馆可选择安全可靠的民宿入住，住宿期间应注意用电、用气安全。野外宿营时，应根据地形和历年山洪情况，选择干燥避风处，避开觇标、枯树、独立岩石和输电设备及线路等，严禁在山顶、河床、狭谷、悬崖绝壁等容易发生雷击、山洪和崩陷危险的地带搭设帐篷。搭设帐篷应做好防雷、防毒蛇、毒虫咬伤等安全措施。</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住宿安全管理，野外宿营的应有住宿方案，</w:t>
            </w:r>
            <w:r>
              <w:rPr>
                <w:rFonts w:hint="default" w:ascii="Times New Roman" w:hAnsi="Times New Roman" w:eastAsia="宋体" w:cs="Times New Roman"/>
                <w:color w:val="000000" w:themeColor="text1"/>
                <w:sz w:val="21"/>
                <w:szCs w:val="21"/>
                <w14:textFill>
                  <w14:solidFill>
                    <w14:schemeClr w14:val="tx1"/>
                  </w14:solidFill>
                </w14:textFill>
              </w:rPr>
              <w:t>搭设帐篷应做好防雷、防毒蛇、毒虫咬伤等安全措施。</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没有住宿方案的，不得分；没有安全措施的，不得分，发现一处安全措施不到位的，扣1分。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70"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4.1.13驾驶员应遵守《中华人民共和国道路交通安全法》等有关法律、法规、安全操作规程和安全运行的各种要求，具备野外环境下驾驶车辆的技能，掌握保养和维修的基本知识和技能。经常性开展交通安全教育培训，并做好记录。对外出作业车辆出车前应进行安全检查，并做好记录，明确行驶路径，野外作业时，应对行驶路径进行安全风险分析，提出合理、安全出行方案。</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驾驶员应持证，没有证照的，不得分；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对外出作业车辆出车前应进行安全检查，并做好记录，明确行驶路径，</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没有安全检查记录的，不得分；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野外作业时，应对行驶路径进行安全风险分析，提出合理、安全出行方案</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没有安全出行方案的，不得分。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88</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4.2内业管理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4.2.1内业作业场所内应定期开展消防安全、电气安全、燃气安全、仪器设备使用的电池存放与充放电、电动车停放与充电安全检查等安全管理工作。高层办公、机房、资料档案库房、仪器设备库房等场所应明确消防责任边界和统一管理人，严禁电动自行车、电动摩托车及其电池违规进入电梯轿厢或在不符合消防安全条件的室内场所停放、充电。</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定期进行消防安全检查的，不得分；未对发现的问题及时进行整改的，不得分；高层建筑场所未明确消防责任边界或统一管理人的，扣2分；发现电动自行车、电动摩托车及其电池违规入楼、入梯或室内充电的，发现一处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4.2.2</w:t>
            </w:r>
            <w:r>
              <w:rPr>
                <w:rFonts w:hint="default" w:ascii="Times New Roman" w:hAnsi="Times New Roman" w:eastAsia="宋体" w:cs="Times New Roman"/>
                <w:color w:val="000000" w:themeColor="text1"/>
                <w:sz w:val="21"/>
                <w:szCs w:val="21"/>
                <w14:textFill>
                  <w14:solidFill>
                    <w14:schemeClr w14:val="tx1"/>
                  </w14:solidFill>
                </w14:textFill>
              </w:rPr>
              <w:t>按规定设置</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场所内的</w:t>
            </w:r>
            <w:r>
              <w:rPr>
                <w:rFonts w:hint="default" w:ascii="Times New Roman" w:hAnsi="Times New Roman" w:eastAsia="宋体" w:cs="Times New Roman"/>
                <w:color w:val="000000" w:themeColor="text1"/>
                <w:sz w:val="21"/>
                <w:szCs w:val="21"/>
                <w14:textFill>
                  <w14:solidFill>
                    <w14:schemeClr w14:val="tx1"/>
                  </w14:solidFill>
                </w14:textFill>
              </w:rPr>
              <w:t>安全（警示）标志、安全风险告知卡和紧急疏散示意图，并对标志、卡、图进行定期检查，保证标志、卡、图完好清晰</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未在场所内设置安全（警示）标志、安全风险告知卡和紧急疏散示意图的，不得分；设置不到位的，缺一个扣0.5分。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4.2.3基础设施、电气配电线路、用电设施、燃气管道等检维修时，应设专人现场监护，确保安全作业。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检维修时，没有设专人现场监护的，不得分。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4.2.4</w:t>
            </w:r>
            <w:r>
              <w:rPr>
                <w:rFonts w:hint="default" w:ascii="Times New Roman" w:hAnsi="Times New Roman" w:eastAsia="宋体" w:cs="Times New Roman"/>
                <w:color w:val="000000" w:themeColor="text1"/>
                <w:sz w:val="21"/>
                <w:szCs w:val="21"/>
                <w14:textFill>
                  <w14:solidFill>
                    <w14:schemeClr w14:val="tx1"/>
                  </w14:solidFill>
                </w14:textFill>
              </w:rPr>
              <w:t>禁止携带易燃易爆物品进入</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内业</w:t>
            </w:r>
            <w:r>
              <w:rPr>
                <w:rFonts w:hint="default" w:ascii="Times New Roman" w:hAnsi="Times New Roman" w:eastAsia="宋体" w:cs="Times New Roman"/>
                <w:color w:val="000000" w:themeColor="text1"/>
                <w:sz w:val="21"/>
                <w:szCs w:val="21"/>
                <w14:textFill>
                  <w14:solidFill>
                    <w14:schemeClr w14:val="tx1"/>
                  </w14:solidFill>
                </w14:textFill>
              </w:rPr>
              <w:t>作业场所</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办公场所内（实验室除外）发现有易燃易爆物品的，不得分。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1"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108</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1"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5.1仪器设备安全使用</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5.1.1测绘单位应建立健全仪器设备安全管理制度，建立完善仪器设备安全台账，制定检验计划，做好出入登记。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未建立管理制度、台账，不得分；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台账记录、检验计划、信息登记不全，每处扣1分。</w:t>
            </w:r>
          </w:p>
        </w:tc>
        <w:tc>
          <w:tcPr>
            <w:tcW w:w="1524" w:type="dxa"/>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5仪器设备管理</w:t>
            </w: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5.1.2仪器设备的使用须符合安全要求，凡对人体可能构成伤害的危险部位，都要设置安全防护装置；所有电气设备，必须按照规定埋设接地网、保持接地符合规定要求。</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仪器设备对人体可能构成伤害的危险部位没有设置安全防护装置的，不得分；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电气设备没有按照规定埋设接地网的，不得分。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5.1.3作业人员应熟悉操作规程，必须严格按有关规程进行操作。作业前要认真检查并确认所操作的仪器设备处于安全状态后，方可操作使用。</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被抽查人员不熟悉作业操作规程的，发现一人次扣1分；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作业前未对所操作仪器设备进行安全检查并记录的，不得分。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5.1.4需要用电池供电的仪器设备，应建立电池采购验收、编号登记、充电使用、运输存放、异常处置和报废回收等管理记录。电池充电时，内业固定场所应放置充电防护箱（柜）进行充电；外业临时驻地使用防火充电垫或充电箱，远离易燃物、专人看管，不长期离人充电。外业运输时应防短路、防挤压、防暴晒；发现鼓包、漏液、异常发热、外壳破损或者达到单位报废要求的，应停止使用并按规定处置。</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未建立电池台账或管理记录的，扣2分；充电防护措施不到位的，发现一处扣1分；外业临时驻地存在不安全充电的，发现一处扣1分；发现异常电池继续使用或未按规定处置的，不得分。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5.1.5仪器设备不使用时，应将电池和仪器设备分开存放。存放的库房应符合《</w:t>
            </w:r>
            <w:r>
              <w:rPr>
                <w:rFonts w:hint="default" w:ascii="Times New Roman" w:hAnsi="Times New Roman" w:eastAsia="宋体" w:cs="Times New Roman"/>
                <w:color w:val="000000" w:themeColor="text1"/>
                <w:sz w:val="21"/>
                <w:szCs w:val="21"/>
                <w14:textFill>
                  <w14:solidFill>
                    <w14:schemeClr w14:val="tx1"/>
                  </w14:solidFill>
                </w14:textFill>
              </w:rPr>
              <w:t>建筑防火通用规范</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GB 55037</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-2022）的相关要求。</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不使用时，电池和仪器设备没有分开存放的，发现一处扣1分，库房不符合《建筑防火通用规范》的相关要求的，不得分。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5.2仪器设备拆除、报废</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对多年不用或已经损坏并无修复价值的仪器设备应向保管员通报，经相关人员批准确认后，</w:t>
            </w:r>
            <w:r>
              <w:rPr>
                <w:rFonts w:hint="default" w:ascii="Times New Roman" w:hAnsi="Times New Roman" w:eastAsia="宋体" w:cs="Times New Roman"/>
                <w:color w:val="000000" w:themeColor="text1"/>
                <w:sz w:val="21"/>
                <w:szCs w:val="21"/>
                <w14:textFill>
                  <w14:solidFill>
                    <w14:schemeClr w14:val="tx1"/>
                  </w14:solidFill>
                </w14:textFill>
              </w:rPr>
              <w:t>按报废仪器设备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程序进行报废</w:t>
            </w:r>
            <w:r>
              <w:rPr>
                <w:rFonts w:hint="default" w:ascii="Times New Roman" w:hAnsi="Times New Roman" w:eastAsia="宋体" w:cs="Times New Roman"/>
                <w:color w:val="000000" w:themeColor="text1"/>
                <w:sz w:val="21"/>
                <w:szCs w:val="21"/>
                <w14:textFill>
                  <w14:solidFill>
                    <w14:schemeClr w14:val="tx1"/>
                  </w14:solidFill>
                </w14:textFill>
              </w:rPr>
              <w:t>处理。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报废的仪器设备未拆除或未标志“停用”的，发现一台扣2分。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6安全风险管控</w:t>
            </w: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6.1 安全风险排查</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排查应基于“全面系统”的原则，对风险点、危险源进行普查和识别，系统掌握风险点、危险源的种类、数量和分布状况，摸清安全风险底数。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没有开展安全风险排查的，不得分；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开展安全风险排查不全面的，发现一处扣1分。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6.2</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分析</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安全风险分析包括可能性分析和后果严重性两部分。安全风险分析可采用定性、定量或定性定量相结合等方式进行计算和描述。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安全风险分析方法的选择不合理的，扣5分；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安全风险分析没有采用定性、定量或定性定量相结合方式进行计算和描述的，不得分。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5"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6.3</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评级</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安全风险评级采取风险矩阵法，风险点、危险源的风险等级分为红、橙、黄、蓝四个等级（其中“红”色代表最高安全风险等级）。</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安全风险没有按照规定采取风险矩阵法的，扣5分；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风险等级没有按红、橙、黄、蓝四个等级划分的，不得分。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6.4</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安全风险排查管控清单</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排查</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分析和评级</w:t>
            </w:r>
            <w:r>
              <w:rPr>
                <w:rFonts w:hint="default" w:ascii="Times New Roman" w:hAnsi="Times New Roman" w:eastAsia="宋体" w:cs="Times New Roman"/>
                <w:color w:val="000000" w:themeColor="text1"/>
                <w:sz w:val="21"/>
                <w:szCs w:val="21"/>
                <w14:textFill>
                  <w14:solidFill>
                    <w14:schemeClr w14:val="tx1"/>
                  </w14:solidFill>
                </w14:textFill>
              </w:rPr>
              <w:t>情况形成</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安全风险清单</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安全风险清单》表中包括但不限于：安全</w:t>
            </w:r>
            <w:r>
              <w:rPr>
                <w:rFonts w:hint="default" w:ascii="Times New Roman" w:hAnsi="Times New Roman" w:eastAsia="宋体" w:cs="Times New Roman"/>
                <w:color w:val="000000" w:themeColor="text1"/>
                <w:sz w:val="21"/>
                <w:szCs w:val="21"/>
                <w14:textFill>
                  <w14:solidFill>
                    <w14:schemeClr w14:val="tx1"/>
                  </w14:solidFill>
                </w14:textFill>
              </w:rPr>
              <w:t>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名称和</w:t>
            </w:r>
            <w:r>
              <w:rPr>
                <w:rFonts w:hint="default" w:ascii="Times New Roman" w:hAnsi="Times New Roman" w:eastAsia="宋体" w:cs="Times New Roman"/>
                <w:color w:val="000000" w:themeColor="text1"/>
                <w:sz w:val="21"/>
                <w:szCs w:val="21"/>
                <w14:textFill>
                  <w14:solidFill>
                    <w14:schemeClr w14:val="tx1"/>
                  </w14:solidFill>
                </w14:textFill>
              </w:rPr>
              <w:t>类别、</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安全风险所在位置、安全风险所属部门（项目）、主管（监管）部门（项目），安全风险等级、管控措施、对应隐患排查事项和责任人等。</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w:t>
            </w:r>
            <w:r>
              <w:rPr>
                <w:rFonts w:hint="default" w:ascii="Times New Roman" w:hAnsi="Times New Roman" w:eastAsia="宋体" w:cs="Times New Roman"/>
                <w:color w:val="000000" w:themeColor="text1"/>
                <w:sz w:val="21"/>
                <w:szCs w:val="21"/>
                <w14:textFill>
                  <w14:solidFill>
                    <w14:schemeClr w14:val="tx1"/>
                  </w14:solidFill>
                </w14:textFill>
              </w:rPr>
              <w:t>形成</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安全风险清单</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《安全风险清单》中，填写的内容不完整的，发现一处扣1分；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未明确对应隐患排查事项或安全管控措施明显不到位的，发现一处扣1分。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6.5</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日常</w:t>
            </w:r>
            <w:r>
              <w:rPr>
                <w:rFonts w:hint="default" w:ascii="Times New Roman" w:hAnsi="Times New Roman" w:eastAsia="宋体" w:cs="Times New Roman"/>
                <w:color w:val="000000" w:themeColor="text1"/>
                <w:sz w:val="21"/>
                <w:szCs w:val="21"/>
                <w14:textFill>
                  <w14:solidFill>
                    <w14:schemeClr w14:val="tx1"/>
                  </w14:solidFill>
                </w14:textFill>
              </w:rPr>
              <w:t>管</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控</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6.5.1应建立健全安全风险管理制度，每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半年</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至少开展</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次全面安全风险排查、分析与评级工作，重点对资料档案库房、机房、生产和生活基地、外业作业场所和办公场所等的风险点、危险源，进行排查、分析和评级，建立安全管控风险点、危险源台账。</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没有按规定开展全面安全风险排查、分析、评级工作的，不得分；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在排查中，发现排查不全面的，发现一处扣1分。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6.5.2 </w:t>
            </w:r>
            <w:r>
              <w:rPr>
                <w:rFonts w:hint="default" w:ascii="Times New Roman" w:hAnsi="Times New Roman" w:eastAsia="宋体" w:cs="Times New Roman"/>
                <w:color w:val="000000" w:themeColor="text1"/>
                <w:sz w:val="21"/>
                <w:szCs w:val="21"/>
                <w14:textFill>
                  <w14:solidFill>
                    <w14:schemeClr w14:val="tx1"/>
                  </w14:solidFill>
                </w14:textFill>
              </w:rPr>
              <w:t>加强对高危地区测绘、应急测绘、境外测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绘</w:t>
            </w:r>
            <w:r>
              <w:rPr>
                <w:rFonts w:hint="default" w:ascii="Times New Roman" w:hAnsi="Times New Roman" w:eastAsia="宋体" w:cs="Times New Roman"/>
                <w:color w:val="000000" w:themeColor="text1"/>
                <w:sz w:val="21"/>
                <w:szCs w:val="21"/>
                <w14:textFill>
                  <w14:solidFill>
                    <w14:schemeClr w14:val="tx1"/>
                  </w14:solidFill>
                </w14:textFill>
              </w:rPr>
              <w:t>的安全生产风险管理，做到人员、装备、保障、应急以及法规、制度、标准、规范等全方位安全管控，充分利用科技和信息化手段，研发测绘外业安全生产监控系统，强化预测预警和过程监管</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没有对</w:t>
            </w:r>
            <w:r>
              <w:rPr>
                <w:rFonts w:hint="default" w:ascii="Times New Roman" w:hAnsi="Times New Roman" w:eastAsia="宋体" w:cs="Times New Roman"/>
                <w:color w:val="000000" w:themeColor="text1"/>
                <w:sz w:val="21"/>
                <w:szCs w:val="21"/>
                <w14:textFill>
                  <w14:solidFill>
                    <w14:schemeClr w14:val="tx1"/>
                  </w14:solidFill>
                </w14:textFill>
              </w:rPr>
              <w:t>高危地区测绘、应急测绘、境外测</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绘</w:t>
            </w:r>
            <w:r>
              <w:rPr>
                <w:rFonts w:hint="default" w:ascii="Times New Roman" w:hAnsi="Times New Roman" w:eastAsia="宋体" w:cs="Times New Roman"/>
                <w:color w:val="000000" w:themeColor="text1"/>
                <w:sz w:val="21"/>
                <w:szCs w:val="21"/>
                <w14:textFill>
                  <w14:solidFill>
                    <w14:schemeClr w14:val="tx1"/>
                  </w14:solidFill>
                </w14:textFill>
              </w:rPr>
              <w:t>的安全生产风险管理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管控不到位的，发现一处扣1分</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承担高风险外业项目但未配置必要通信定位或应急联络手段的，扣2分。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6.5.3安全风险排查、分析和评级结果均需建档。</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没有建档的，不得分。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6.6</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w:t>
            </w:r>
            <w:r>
              <w:rPr>
                <w:rFonts w:hint="default" w:ascii="Times New Roman" w:hAnsi="Times New Roman" w:eastAsia="宋体" w:cs="Times New Roman"/>
                <w:color w:val="000000" w:themeColor="text1"/>
                <w:sz w:val="21"/>
                <w:szCs w:val="21"/>
                <w14:textFill>
                  <w14:solidFill>
                    <w14:schemeClr w14:val="tx1"/>
                  </w14:solidFill>
                </w14:textFill>
              </w:rPr>
              <w:t>变更管理</w:t>
            </w:r>
          </w:p>
        </w:tc>
        <w:tc>
          <w:tcPr>
            <w:tcW w:w="4199" w:type="dxa"/>
            <w:vAlign w:val="center"/>
          </w:tcPr>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测绘单位应当高度关注风险点、危险源变化后的风险状况。出现下列情形时，应当及时调整风险等级和控制措施：</w:t>
            </w:r>
          </w:p>
          <w:p>
            <w:pPr>
              <w:keepNext w:val="0"/>
              <w:keepLines w:val="0"/>
              <w:widowControl/>
              <w:numPr>
                <w:ilvl w:val="255"/>
                <w:numId w:val="0"/>
              </w:numPr>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（1）法律法规、标准规范发生变更，可能影响安全风险等级；</w:t>
            </w:r>
          </w:p>
          <w:p>
            <w:pPr>
              <w:keepNext w:val="0"/>
              <w:keepLines w:val="0"/>
              <w:widowControl/>
              <w:numPr>
                <w:ilvl w:val="255"/>
                <w:numId w:val="0"/>
              </w:numPr>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（2）组织机构发生重大调整；</w:t>
            </w:r>
          </w:p>
          <w:p>
            <w:pPr>
              <w:keepNext w:val="0"/>
              <w:keepLines w:val="0"/>
              <w:widowControl/>
              <w:numPr>
                <w:ilvl w:val="255"/>
                <w:numId w:val="0"/>
              </w:numPr>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（3）作业条件、作业方法、仪器设备发生变化；</w:t>
            </w:r>
          </w:p>
          <w:p>
            <w:pPr>
              <w:keepNext w:val="0"/>
              <w:keepLines w:val="0"/>
              <w:widowControl/>
              <w:numPr>
                <w:ilvl w:val="255"/>
                <w:numId w:val="0"/>
              </w:numPr>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（4）本单位发生安全事故或相关行业领域发生重特大安全事故；</w:t>
            </w:r>
          </w:p>
          <w:p>
            <w:pPr>
              <w:keepNext w:val="0"/>
              <w:keepLines w:val="0"/>
              <w:widowControl/>
              <w:numPr>
                <w:ilvl w:val="255"/>
                <w:numId w:val="0"/>
              </w:numPr>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（5）极端天气、重大节假日、大型活动等；</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（6）其他可能影响安全风险的状况的情况。</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危险源发生重大变化后的风险状况未及时调整风险等级和控制措施的，不得分。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6.7</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信息化建设</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测绘单位宜建立安全风险分级管控信息系统或采用信息化手段加强安全管理，关联相关安全风险管控信息数据，绘制外业作业安全风险分布电子地图和定位外业作业人员作业位置，对测绘单位各外业作业点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和内业作业的</w:t>
            </w:r>
            <w:r>
              <w:rPr>
                <w:rFonts w:hint="default" w:ascii="Times New Roman" w:hAnsi="Times New Roman" w:eastAsia="宋体" w:cs="Times New Roman"/>
                <w:color w:val="000000" w:themeColor="text1"/>
                <w:sz w:val="21"/>
                <w:szCs w:val="21"/>
                <w14:textFill>
                  <w14:solidFill>
                    <w14:schemeClr w14:val="tx1"/>
                  </w14:solidFill>
                </w14:textFill>
              </w:rPr>
              <w:t>安全风险</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进行分析</w:t>
            </w:r>
            <w:r>
              <w:rPr>
                <w:rFonts w:hint="default" w:ascii="Times New Roman" w:hAnsi="Times New Roman" w:eastAsia="宋体" w:cs="Times New Roman"/>
                <w:color w:val="000000" w:themeColor="text1"/>
                <w:sz w:val="21"/>
                <w:szCs w:val="21"/>
                <w14:textFill>
                  <w14:solidFill>
                    <w14:schemeClr w14:val="tx1"/>
                  </w14:solidFill>
                </w14:textFill>
              </w:rPr>
              <w:t>研判</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14:textFill>
                  <w14:solidFill>
                    <w14:schemeClr w14:val="tx1"/>
                  </w14:solidFill>
                </w14:textFill>
              </w:rPr>
              <w:t>管控</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没有开展信息化建设或采用信息化手段加强安全管理的，</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扣2-5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6.8</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安全风险监</w:t>
            </w:r>
            <w:r>
              <w:rPr>
                <w:rFonts w:hint="default" w:ascii="Times New Roman" w:hAnsi="Times New Roman" w:eastAsia="宋体" w:cs="Times New Roman"/>
                <w:color w:val="000000" w:themeColor="text1"/>
                <w:sz w:val="21"/>
                <w:szCs w:val="21"/>
                <w14:textFill>
                  <w14:solidFill>
                    <w14:schemeClr w14:val="tx1"/>
                  </w14:solidFill>
                </w14:textFill>
              </w:rPr>
              <w:t>测预警</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测绘单位应根据测绘项目状况、安全风险及隐患排查治理、事故等情况，运用定性定量的安全生产</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监</w:t>
            </w:r>
            <w:r>
              <w:rPr>
                <w:rFonts w:hint="default" w:ascii="Times New Roman" w:hAnsi="Times New Roman" w:eastAsia="宋体" w:cs="Times New Roman"/>
                <w:color w:val="000000" w:themeColor="text1"/>
                <w:sz w:val="21"/>
                <w:szCs w:val="21"/>
                <w14:textFill>
                  <w14:solidFill>
                    <w14:schemeClr w14:val="tx1"/>
                  </w14:solidFill>
                </w14:textFill>
              </w:rPr>
              <w:t>测预警技术，</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鼓励</w:t>
            </w:r>
            <w:r>
              <w:rPr>
                <w:rFonts w:hint="default" w:ascii="Times New Roman" w:hAnsi="Times New Roman" w:eastAsia="宋体" w:cs="Times New Roman"/>
                <w:color w:val="000000" w:themeColor="text1"/>
                <w:sz w:val="21"/>
                <w:szCs w:val="21"/>
                <w14:textFill>
                  <w14:solidFill>
                    <w14:schemeClr w14:val="tx1"/>
                  </w14:solidFill>
                </w14:textFill>
              </w:rPr>
              <w:t>建立体现本单位安全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风险状况的</w:t>
            </w:r>
            <w:r>
              <w:rPr>
                <w:rFonts w:hint="default" w:ascii="Times New Roman" w:hAnsi="Times New Roman" w:eastAsia="宋体" w:cs="Times New Roman"/>
                <w:color w:val="000000" w:themeColor="text1"/>
                <w:sz w:val="21"/>
                <w:szCs w:val="21"/>
                <w14:textFill>
                  <w14:solidFill>
                    <w14:schemeClr w14:val="tx1"/>
                  </w14:solidFill>
                </w14:textFill>
              </w:rPr>
              <w:t>安全</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风险监</w:t>
            </w:r>
            <w:r>
              <w:rPr>
                <w:rFonts w:hint="default" w:ascii="Times New Roman" w:hAnsi="Times New Roman" w:eastAsia="宋体" w:cs="Times New Roman"/>
                <w:color w:val="000000" w:themeColor="text1"/>
                <w:sz w:val="21"/>
                <w:szCs w:val="21"/>
                <w14:textFill>
                  <w14:solidFill>
                    <w14:schemeClr w14:val="tx1"/>
                  </w14:solidFill>
                </w14:textFill>
              </w:rPr>
              <w:t>测预警体系。</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没有建立本单位的安全风险状况安全风险监测预警系统的，</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扣2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7隐患排查</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治理</w:t>
            </w:r>
          </w:p>
        </w:tc>
        <w:tc>
          <w:tcPr>
            <w:tcW w:w="828" w:type="dxa"/>
            <w:vMerge w:val="restart"/>
            <w:vAlign w:val="center"/>
          </w:tcPr>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7.1</w:t>
            </w:r>
          </w:p>
          <w:p>
            <w:pPr>
              <w:keepNext w:val="0"/>
              <w:keepLines w:val="0"/>
              <w:widowControl/>
              <w:suppressLineNumbers w:val="0"/>
              <w:spacing w:before="0" w:beforeAutospacing="0" w:after="0" w:afterAutospacing="0" w:line="360" w:lineRule="auto"/>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开展隐患排查</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7.1.1测绘单位应建立安全生产事故隐患排查治理长效机制、隐患排查治理制度，逐级建立并落实从主要负责人到每位从业人员的全员隐患排查治理和防控责任制，并按照有关规定组织开展隐患排查治理工作，及时发现并消除隐患，实行隐患闭环管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制度与《生产安全事故隐患排查治理规定》（国家安全监管总局令第16号）等规定不符的，不得分；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制度未明确并落实从负责人到从业人员的隐患排查治理和防控责任的，不得分；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未实行隐患闭环管理的，不得分。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7.1.2测绘单位应根据有关法律法规、标准规范等，组织制定各部门、岗位、场所、设备设施的隐患排查治理标准或排查清单，明确隐患排查的时限、范围、内容、频次和要求，并组织开展相应的培训。隐患排查的范围包括但不限于:与测绘作业相关的场所、人员、设备设施和外业作业活动，包括相关方等相关服务范围。</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未制定隐患排查治理标准或排查清单的，不得分；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缺少隐患排查的时限、范围、内容、频次和要求的，发现一项扣2分，发现两项不得分；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未开展相应培训的，扣5分；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隐患排查的范围缺少与测绘作业相关的场所、人员、设备设施和外业作业活动、相关方等相关服务范围的，发现一项扣2分，发现两项不得分。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7.1.3测绘单位应按照有关规定，结合测绘行业的需要和特点，采用综合检查、专</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项</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检查、季节性检查、节假日检查、日常检查等不同方式进行隐患排查。对排查出的隐患，按照隐患的等级进行记录，建立隐患信息档案，并按照职责分工实施监控治理，组织有关专业技术人员对本单位可能存在的重大隐患做出认定，并按照有关规定进行管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缺少一类检查方式，扣2分；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无相关检查记录的，发现一次扣2分，发现两次不得分；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无隐患汇总登记台账的，不得分；无隐患评估分级的，扣5分；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未对本单位可能存在的重大隐患做出认定并按照有关规定进行管理的，不得分。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7.1.4测绘单位应将相关方排查出的隐患统一纳入本单位隐患管理，并建立相关方隐患双向通报、整改责任确认、复查销账和退出机制。</w:t>
            </w:r>
            <w:r>
              <w:rPr>
                <w:rFonts w:hint="default" w:ascii="Times New Roman" w:hAnsi="Times New Roman" w:eastAsia="宋体" w:cs="Times New Roman"/>
                <w:color w:val="000000" w:themeColor="text1"/>
                <w:sz w:val="21"/>
                <w:szCs w:val="21"/>
                <w14:textFill>
                  <w14:solidFill>
                    <w14:schemeClr w14:val="tx1"/>
                  </w14:solidFill>
                </w14:textFill>
              </w:rPr>
              <w:t>建立隐患与整改双清单，对重大及重复隐患开展回头看，健全隐患上报激励机制。</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将相关方排查出的隐患统一纳入本单位隐患管理的，不得分；未明确相关方整改责任、期限和复查方式的，扣5分；对严重违章或拒不整改的相关方未采取暂停合作或清退措施的，扣5分。未开展回头看的，扣5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7.2</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隐患信息记录、通报和报送</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7.2.1</w:t>
            </w:r>
            <w:r>
              <w:rPr>
                <w:rFonts w:hint="default" w:ascii="Times New Roman" w:hAnsi="Times New Roman" w:eastAsia="宋体" w:cs="Times New Roman"/>
                <w:color w:val="000000" w:themeColor="text1"/>
                <w:sz w:val="21"/>
                <w:szCs w:val="21"/>
                <w14:textFill>
                  <w14:solidFill>
                    <w14:schemeClr w14:val="tx1"/>
                  </w14:solidFill>
                </w14:textFill>
              </w:rPr>
              <w:t>测绘单位应如实记录隐患排查治理情况，至少每</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季度</w:t>
            </w:r>
            <w:r>
              <w:rPr>
                <w:rFonts w:hint="default" w:ascii="Times New Roman" w:hAnsi="Times New Roman" w:eastAsia="宋体" w:cs="Times New Roman"/>
                <w:color w:val="000000" w:themeColor="text1"/>
                <w:sz w:val="21"/>
                <w:szCs w:val="21"/>
                <w14:textFill>
                  <w14:solidFill>
                    <w14:schemeClr w14:val="tx1"/>
                  </w14:solidFill>
                </w14:textFill>
              </w:rPr>
              <w:t>进行统计分析，及时将隐患排查治理情况向从业人员通报</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没有按规定进行统计分析的，扣5分；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没有按规定将隐患排查治理情况向从业人员通报的，扣5分。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7.2.2</w:t>
            </w:r>
            <w:r>
              <w:rPr>
                <w:rFonts w:hint="default" w:ascii="Times New Roman" w:hAnsi="Times New Roman" w:eastAsia="宋体" w:cs="Times New Roman"/>
                <w:color w:val="000000" w:themeColor="text1"/>
                <w:sz w:val="21"/>
                <w:szCs w:val="21"/>
                <w14:textFill>
                  <w14:solidFill>
                    <w14:schemeClr w14:val="tx1"/>
                  </w14:solidFill>
                </w14:textFill>
              </w:rPr>
              <w:t>测绘单位可运用隐患自查、自改、自报信息系统，通过信息系统对隐患排查、报告、治理、销账等过程进行电子化管理和统计分析，并按照行业主管部门和应急管理部门的要求，定期或实时报送隐患排查治理情况</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没有按规定对隐患信息进行管理的，扣5分；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没有按规定定期或实时报送隐患排查治理情况的，扣5分。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7.3</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实施隐患治理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7.3.1隐患治理实行一般隐患和重大隐患的分级治理，一般隐患按照职责分工，由所在部门或班组员工组织治理；重大隐患治理由主要负责人组织制定重大隐患治理方案进行治理。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未对隐患治理实行一般隐患和重大隐患的分级治理的，不得分。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7.3.2测绘单位在隐患治理过程中，应采取相应的监控防范措施，隐患排除前或排除过程无法保证安全的，应从危险区域内撤出作业人员，疏散可能危及的作业人员，设置安全警戒标志，停止相关作业。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隐患治理过程中未采取监控防范措施的，不得分；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隐患排除前或者排除过程中无法保证安全的，不得分；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未从危险区域内撤出或疏散作业人员的，不得分；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未设置警戒标志的，每处扣5分。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7.4</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隐患治理验收与评估</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7.4.1隐患治理完成后，鼓励测绘单位按照有关规定对治理情况进行评估、验收。重大隐患治理完成后，测绘单位应组织本单位的安全生产管理人员和技术人员进行验收或委托行业协会、安全技术服务机构进行评估。</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重大隐患治理完成后</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未对治理情况进行评估、验收的，不得分；</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一般隐患未形成整改确认、复查记录或销账记录的，发现一处扣5分</w:t>
            </w:r>
            <w:r>
              <w:rPr>
                <w:rFonts w:hint="eastAsia" w:ascii="Times New Roman" w:hAnsi="Times New Roman" w:eastAsia="宋体" w:cs="Times New Roman"/>
                <w:color w:val="000000" w:themeColor="text1"/>
                <w:sz w:val="21"/>
                <w:szCs w:val="21"/>
                <w:lang w:val="en-US" w:eastAsia="zh-CN" w:bidi="ar"/>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无评估、验收记录的，发现一处扣5分，发现两处不得分；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评估、验收结果不符合实际情况的，发现一处扣5分，发现两处不得分；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未对重大隐患治理情况进行验收或评估的，不得分；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未经验收、评估合格就恢复生产经营活动或投入使用的，不得分。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135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135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8 消防安全管理</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8.1</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管理制度</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8.1.1测绘单位应建立健全消防安全管理制度，制定消防安全管理责任清单，落实消防安全主体责任。</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未制定消防安全管理责任清单的，不得分；内容不全面的，缺少一项扣2分。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8.1.2外业作业应加强作业人员的消防安全教育培训，建立使用明火作业等危险作业审批制度，确保野外作业安全。</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缺少外业作业人员消防安全教育培训记录的，不得分；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危险作业未进行审批的，不得分。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8.2现场消防管理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8.2.1内业作业场所应按《中华人民共和国消防法》规定配备数量足够的灭火器具。</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内业场所配置的灭火器不足的，发现一处扣2分。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8.2.2组织专业人员定期开展火灾隐患排查，对排查出的问题做到及时整改，并建立火灾隐患排查治理台账。</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未定期开展火灾隐患排查并做好记录的，不得分；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排查出的隐患问题未及时整改的，发现一处扣5分；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未建立火灾隐患排查治理台账的，不得分。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8.2.3资料、档案、设备库房等重点防火区域，不论面积大小，均应按规定配置灭火器具，并定期开展消防安全检查，发现问题及时整改</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eastAsia" w:ascii="Times New Roman" w:hAnsi="Times New Roman" w:eastAsia="宋体" w:cs="Times New Roman"/>
                <w:color w:val="000000" w:themeColor="text1"/>
                <w:sz w:val="21"/>
                <w:szCs w:val="21"/>
                <w:lang w:val="en-US" w:eastAsia="zh-CN"/>
                <w14:textFill>
                  <w14:solidFill>
                    <w14:schemeClr w14:val="tx1"/>
                  </w14:solidFill>
                </w14:textFill>
              </w:rPr>
              <w:t>重点防火区域未放置灭火器具，不得分；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没有按规定进行消防安全检查的，发现一处扣2分。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8.2.4人员密度较大且面积大于100m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的内业作业场所安全出口应不少于两个。</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人员密度较大且面积大于100m</w:t>
            </w:r>
            <w:r>
              <w:rPr>
                <w:rFonts w:hint="default" w:ascii="Times New Roman" w:hAnsi="Times New Roman" w:eastAsia="宋体" w:cs="Times New Roman"/>
                <w:color w:val="000000" w:themeColor="text1"/>
                <w:sz w:val="21"/>
                <w:szCs w:val="21"/>
                <w:vertAlign w:val="superscript"/>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的内业作业场所安全出口少于两个的，不得分。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8.2.5安全出口、通道、楼梯等消防通道应保持畅通并设置有明显安全出口标志和应急照明设施。</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安全出口、通道、楼梯等消防通道没有保持畅通的，不得分；未设置有明显安全出口标志和应急照明设施的，缺少一个扣2分。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 用电安全</w:t>
            </w: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9.1</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用电安全制度</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14:textFill>
                  <w14:solidFill>
                    <w14:schemeClr w14:val="tx1"/>
                  </w14:solidFill>
                </w14:textFill>
              </w:rPr>
              <w:t>测绘单位应加强用电管理，制</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w:t>
            </w:r>
            <w:r>
              <w:rPr>
                <w:rFonts w:hint="default" w:ascii="Times New Roman" w:hAnsi="Times New Roman" w:eastAsia="宋体" w:cs="Times New Roman"/>
                <w:color w:val="000000" w:themeColor="text1"/>
                <w:sz w:val="21"/>
                <w:szCs w:val="21"/>
                <w14:textFill>
                  <w14:solidFill>
                    <w14:schemeClr w14:val="tx1"/>
                  </w14:solidFill>
                </w14:textFill>
              </w:rPr>
              <w:t>用电安全管理制度</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9.2</w:t>
            </w:r>
          </w:p>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现场用电安全管理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9.2.1</w:t>
            </w:r>
            <w:r>
              <w:rPr>
                <w:rFonts w:hint="default" w:ascii="Times New Roman" w:hAnsi="Times New Roman" w:eastAsia="宋体" w:cs="Times New Roman"/>
                <w:color w:val="000000" w:themeColor="text1"/>
                <w:sz w:val="21"/>
                <w:szCs w:val="21"/>
                <w14:textFill>
                  <w14:solidFill>
                    <w14:schemeClr w14:val="tx1"/>
                  </w14:solidFill>
                </w14:textFill>
              </w:rPr>
              <w:t>定期开展用电安全检查</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严禁私拉乱接电线和私自使用大功率用电设备。</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现场检查，发现一处不符合规定的，扣1分。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9.2.2</w:t>
            </w:r>
            <w:r>
              <w:rPr>
                <w:rFonts w:hint="default" w:ascii="Times New Roman" w:hAnsi="Times New Roman" w:eastAsia="宋体" w:cs="Times New Roman"/>
                <w:color w:val="000000" w:themeColor="text1"/>
                <w:sz w:val="21"/>
                <w:szCs w:val="21"/>
                <w14:textFill>
                  <w14:solidFill>
                    <w14:schemeClr w14:val="tx1"/>
                  </w14:solidFill>
                </w14:textFill>
              </w:rPr>
              <w:t>电线、电源漏电，通风、取暖、空调、照明等用电设施要有专人管理、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定期</w:t>
            </w:r>
            <w:r>
              <w:rPr>
                <w:rFonts w:hint="default" w:ascii="Times New Roman" w:hAnsi="Times New Roman" w:eastAsia="宋体" w:cs="Times New Roman"/>
                <w:color w:val="000000" w:themeColor="text1"/>
                <w:sz w:val="21"/>
                <w:szCs w:val="21"/>
                <w14:textFill>
                  <w14:solidFill>
                    <w14:schemeClr w14:val="tx1"/>
                  </w14:solidFill>
                </w14:textFill>
              </w:rPr>
              <w:t>检修。严禁在作业场所非吸烟区吸烟以及使用明火，禁止超负荷用电。节假日放假</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期间</w:t>
            </w:r>
            <w:r>
              <w:rPr>
                <w:rFonts w:hint="default" w:ascii="Times New Roman" w:hAnsi="Times New Roman" w:eastAsia="宋体" w:cs="Times New Roman"/>
                <w:color w:val="000000" w:themeColor="text1"/>
                <w:sz w:val="21"/>
                <w:szCs w:val="21"/>
                <w14:textFill>
                  <w14:solidFill>
                    <w14:schemeClr w14:val="tx1"/>
                  </w14:solidFill>
                </w14:textFill>
              </w:rPr>
              <w:t>，应关闭</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无人使用的</w:t>
            </w:r>
            <w:r>
              <w:rPr>
                <w:rFonts w:hint="default" w:ascii="Times New Roman" w:hAnsi="Times New Roman" w:eastAsia="宋体" w:cs="Times New Roman"/>
                <w:color w:val="000000" w:themeColor="text1"/>
                <w:sz w:val="21"/>
                <w:szCs w:val="21"/>
                <w14:textFill>
                  <w14:solidFill>
                    <w14:schemeClr w14:val="tx1"/>
                  </w14:solidFill>
                </w14:textFill>
              </w:rPr>
              <w:t>电路总闸</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r>
              <w:rPr>
                <w:rFonts w:hint="default" w:ascii="Times New Roman" w:hAnsi="Times New Roman" w:eastAsia="宋体" w:cs="Times New Roman"/>
                <w:color w:val="000000" w:themeColor="text1"/>
                <w:sz w:val="21"/>
                <w:szCs w:val="21"/>
                <w14:textFill>
                  <w14:solidFill>
                    <w14:schemeClr w14:val="tx1"/>
                  </w14:solidFill>
                </w14:textFill>
              </w:rPr>
              <w:t>切断电源</w:t>
            </w:r>
            <w:r>
              <w:rPr>
                <w:rFonts w:hint="default" w:ascii="Times New Roman" w:hAnsi="Times New Roman" w:eastAsia="宋体" w:cs="Times New Roman"/>
                <w:color w:val="000000" w:themeColor="text1"/>
                <w:sz w:val="21"/>
                <w:szCs w:val="21"/>
                <w:lang w:eastAsia="zh-CN"/>
                <w14:textFill>
                  <w14:solidFill>
                    <w14:schemeClr w14:val="tx1"/>
                  </w14:solidFill>
                </w14:textFill>
              </w:rPr>
              <w:t>。</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现场检查，发现一处不符合规定的，扣2分。</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1524"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10应急管理</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10.1应急准备</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10.1.1测绘单位应按照有关规定建立应急管理组织机构或指定人员负责应急管理工作，建立与本单位安全生产特点相适应的专（兼）职应急救援队伍或指定专（兼）职救援人员，必要时与外业作业邻近专业应急救援队伍签订应急救援服务协议。</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未建立应急机构或专人负责的，不得分；机构人员不清楚职责的，不得分；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未建立队伍或指定（专）兼职人员的，不得分；队伍或人员不能满足要求的，不得分；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无训练计划或记录的，扣2分；未按计划训练的，发现一次扣2分；训练科目不全的，发现一处扣2分；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被抽查救援人员不熟悉救援装备使用或能力不够的，发现一人扣2分。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10.1.2测绘单位应在开展安全风险评估和应急资源调查的基础上，建立生产安全事故应急预案体系，制定生产安全事故应急预案，针对安全风险较大的外业环境或重点场所（设施）制定现场处置方案，并编制重点作业岗位、人员应急处置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1"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无应急预案的，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应急预案的格式和内容不符合《生产经营单位生产安全事故应急预案编制导则》（GB/T 29639-2020）规定的，发现一项扣1分；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未制定现场处置方案的，不得分；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重点岗位、人员无应急处置卡的，不得分；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应急处置卡未明确应急处置程序、措施、联络人员、联系方式的，发现一项扣1分。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10.1.3应急预案编制完成后，应进行评审或论证，应急预案评审或论证合格后，由测绘单位应按照有关规定经主要负责人签发颁布后，报属地行业主管部门备案。</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应急预案编制完成后，未进行评审或论证的，不得分；未经过主要负责人签发颁布的，不得分；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未按照规定进行备案或未通报有关应急协作单位的，不得分。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10.1.4测绘单位应定期评估应急预案，及时根据评估结果或实际情况的变化进行修订和完善，修订后按照有关规定及时报属地行业主管部门备案。</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有下列情形之一的，应当及时修订相关预案：</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（1）制定预案所依据的法律、法规、规章、标准发生重大变化；</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（2）应急指挥机构及其职责发生调整；</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（3）安全生产面临的风险发生重大变化；</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（4）重要应急资源发生重大变化；</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（5）在预案演练或者应急救援中发现需要修订预案的重大问题；</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（6）其他应当修订的情形。</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未定期评估的，不得分；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未根据评估结果或实际情况的变化进行修订和完善的，不得分；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未将修订后的应急预案及时报当地主管部门备案的，不得分。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10.1.5测绘单位应根据可能发生的事故种类特点，按照有关规定设置应急设施、配备应急装备，储备应急物资，建立管理台账，安排专人管理，并定期检查、维护、检测、保养，确保其完好、可靠。</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应急设施、装备、物资不全的，发现一处扣1分；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未建立台账或台账不全的，扣2分；未安排专人管理的，扣2分；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无检查、维护、保养记录的，发现一处扣2分。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10.1.6测绘单位应当制定本单位的应急预案演练计划,根据本单位的事故风险特点,每年至少组织一次综合应急预案演练或者专项应急预案演练,每半年至少组织一次现场处置方案演练。外业项目开工前，项目部或作业班组应围绕本测区主要风险开展一次桌面推演或岗位处置演练，并形成记录；长期外业项目应定期围绕交通事故、人员失联、突发疾病、极端天气、涉水遇险、无人机失控、锂电池起火等典型场景组织桌面推演。</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作业人员未掌握本岗位应急预案和应急处置方案或措施的，抽查岗位人员，发现一人对应急救援预案和演练情况不知晓了解的，扣2分；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无应急演练计划的，不得分；应急演练计划不符合《生产安全事故应急演练基本规范》（YJ/T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9007-2019）规定的，不得分；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未按计划进行演练的，发现一处扣2分；无应急演练方案和记录的，发现一处扣2分；演练方案简单或缺乏执行性的，发现一处扣2分；外业项目开工前未开展桌面推演或岗位处置演练的，扣2分；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高层管理人员未按规定参加的，不得分。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10.1.7鼓励测绘单位根据本单位的实际需要，建立生产安全事故应急救援信息化系统，并与行业主管部门或属地应急管理部门的安全生产应急管理信息系统互联互通。</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未结合本单位实际采用必要的信息化、通信定位或应急联络手段的，发现一处扣2分；已建立应急救援信息化系统并有效运行的，可作为鼓励项或示范项。</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70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10.2应急处置</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发生生产安全事故后，测绘单位应当立即启动本单位生产安全事故应急救援预案，采取下列一项或者多项应急救援措施，并按照国家有关规定报告事故情况：</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（1）迅速控制危险源，组织抢救遇险人员；</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（2）根据事故危害程度，组织现场人员撤离或者采取可能的应急措施后撤离；</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（3）及时通知可能受到事故影响的单位和人员；</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（4）采取必要措施，防止事故危害扩大和次生、衍生灾害发生；</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（5）根据需要请求邻近的应急救援队伍参加救援，并向参加救援的应急救援队伍提供相关技术资料、信息和处置方法；</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（6）维护事故现场秩序，保护事故现场和相关证据；</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（7）法律、法规规定的其他应急救援措施。</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被抽查人员不清楚应急响应程序的，扣2分；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未及时、正确发出警报的，扣2分；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未采取阻断或隔离危险源等措施的，扣2分；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未通知员工和周边人员疏散的，扣2分；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未告知相关单位与人员的，扣2分；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未立即封闭事故现场的，扣2分；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未维护事故现场秩序或保护事故现场证据的，扣2分；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未准备事故救援技术资料并向参加救援的应急救援队伍提供的，扣2分。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10.3应急评估</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10.3.1测绘单位应建立应急预案定期评估制度,对预案内容的针对性和实用性进行分析,并对应急预案是否需要修订作出结论。</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应急预案评估可以邀请相关专业机构或者有关专家、有实际应急救援工作经验的人员参加,必要时可以委托行业协会或安全生产技术服务机构实施。</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未按规定周期开展评估的，不得分。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10.3.2应急预案演练结束后,测绘单位应当按照 YJ/</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T9009</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-2015</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的规定对演练进行总结和评估，根据评估结论和演练发现的问题，撰写应急预案演练评估报告,分析存在的问题,并对应急预案提出修订意见，改进应急准备工作。</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未对应急演练进行总结和评估的，扣2分；评估不符合《生产安全事故应急演练评估规范》（YJ/T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9009-2015）规定的，扣2分；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无评估报告的，不得分；评估报告无结论或未提出改进措施的，扣2分；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未根据评估结论和演练发现的问题修订、完善预案的，扣2分。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110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11事故管理</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11.1报告</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11.1.1测绘单位应建事故报告制度，事故发生后，事故现场有关人员应当立即向本单位负责人报告；单位负责人接到报告后，应当于1小时内向事故发生地县级以上人民政府应急管理部门和负有安全生产监督管理职责的行业主管部门报告；</w:t>
            </w:r>
          </w:p>
          <w:p>
            <w:pPr>
              <w:keepNext w:val="0"/>
              <w:keepLines w:val="0"/>
              <w:widowControl/>
              <w:suppressLineNumbers w:val="0"/>
              <w:spacing w:before="0" w:beforeAutospacing="0" w:after="0" w:afterAutospacing="0"/>
              <w:ind w:left="0" w:right="0" w:firstLine="420" w:firstLineChars="20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情况紧急时，事故现场有关人员可以直接向事故发生地县级以上人民政府应急管理部门和负有安全生产监督管理职责的行业主管部门报告。</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单位有关负责人未立即向当地主管部门报告的，不得分；缺少事故发生时间、地点、当前状态等信息的，扣2分；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未将可能引发的次生事故灾害及时报告相关主管部门的，不得分。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11.1.2测绘单位应妥善保护事故现场以及相关证据，事故报告后出现新情况的，应当及时补报。</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未有效保护现场及有关证据的，不得分；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事故报告后出现新情况未及时补报的，不得分。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11.2调查和处理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11.2.1测绘单位应建立本单位事故调查和处理制度，按照有关规定，将造成人员伤亡（轻伤、重伤、死亡等人身伤害和急性中毒）和财产损失的事故纳入事故调查和处理范畴。</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未将造成人员伤亡（轻伤、重伤、死亡等人身伤害和急性中毒）和财产损失的事故纳入事故调查和处理范畴的，不得分。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11.2.2测绘单位发生事故后，应及时成立事故调查组，明确其职责与权限，进行事故调查。事故调查应查明事故发生的时间、经过、原因、波及范围、人员伤亡情况及直接经济损失等。</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未及时成立事故调查组的，不得分；未明确职责与权限的，不得分；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未查明事故发生的时间、经过、原因、波及范围、人员伤亡情况及直接经济损失的，不得分。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11.2.3事故调查组应根据有关证据，资料，分析事故的直接、间接原因和事故责任人，提出应吸取的教训、整改措施和处理建议，编制事故调查报告。</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未分析事故的直接、间接原因和事故责任的，不得分；分析不准确的，不得分；缺少整改措施和处理建议的，不得分。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11.2.4事故调查报告应当包括下列内容：</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（1）事故发生单位（部门、班组）概况；</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（2）事故发生经过和事故救援情况；</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（3）事故造成的人员伤亡和直接经济损失；</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（4）事故发生的原因和事故性质；</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（5）事故责任的认定以及对事故责任者的处理建议；</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14:textFill>
                  <w14:solidFill>
                    <w14:schemeClr w14:val="tx1"/>
                  </w14:solidFill>
                </w14:textFill>
              </w:rPr>
              <w:t>（6）事故防范和整改措施</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（7）有关证据材料；</w:t>
            </w:r>
          </w:p>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（8）事故调查组成员签名。</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无事故调查报告的，不得分；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调查报告内容不全的，发现一处扣1分，发现两处不得分。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35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11.3事故档案管理</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11.3.1测绘单位应建立事故档案和管理台账，将相关方在本单位发生的事故纳入本单位事故管理。</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承包方在单位场所内发生工亡事故的，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一级要素不得分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承包方、供应方等相关方未纳入本单位事故进行管理的，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未建立事故档案和管理台账，不得分。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11.3.2测绘单位应按照《企业职工伤亡事故分类》（GB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/T</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6441-1986）、《事故伤害损失工作日标准》（GB/T 15499-1995）的有关规定和国家、省市确定的事故统计指标开展事故统计、分析。</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未开展事故统计分析的，扣2分；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不符合《企业职工伤亡事故分类》（GB</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/T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6441-1986）、《事故伤害损失工作日标准》（GB/T</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 xml:space="preserve"> </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15499-1995）规定的，发现一处扣1分，发现两处不得分；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无统计分析记录的，扣2分。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60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1" w:firstLineChars="20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12监督评审</w:t>
            </w: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12.1监督检查</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测绘单位应建立安全生产监督检查制度，每年至少定期组织</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次的全面检查，监督检查的主要内容至少包括：安全生产法规制度的贯彻落实，各级安全生产责任制和安全生产措施的落实，安全教育培训的实施、风险辨识评估与分级管控、隐患排查治理、安全检查、应急预案与应急演练、伤亡事故的调查处理及报告制度的执行情况等。</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10</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该制度未正式发布生效的，不得分；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每年定期组织全面检查少于</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2</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次的，少</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1</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次扣5分；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监督检查的内容缺少一项扣5分，缺少两项不得分。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10</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12.2记录控制</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应如实记录安全生产管理情况，建立安全生产标准化资料台账，记录至少包括下列内容：规章制度、风险源危险点台账、隐患排查治理台账、安全检查台账、安全教育培训台账、安全工作例会台账、劳保用品登记使用台账、应急预案和应急演练记录、事故情况等。</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未建立安全生产管理台账的，不得分；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记录安全生产管理情况缺少一项的，扣2分，缺少两项不得分。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13绩效评定与持续改进</w:t>
            </w:r>
          </w:p>
        </w:tc>
        <w:tc>
          <w:tcPr>
            <w:tcW w:w="828" w:type="dxa"/>
            <w:vMerge w:val="restart"/>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13.1绩效评定</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13.1.1测绘单位应根据本《指南》开展一次自评，验证各项安全生产制度</w:t>
            </w:r>
            <w:r>
              <w:rPr>
                <w:rFonts w:hint="eastAsia" w:ascii="Times New Roman" w:hAnsi="Times New Roman" w:eastAsia="宋体" w:cs="Times New Roman"/>
                <w:color w:val="000000" w:themeColor="text1"/>
                <w:sz w:val="21"/>
                <w:szCs w:val="21"/>
                <w:lang w:val="en-US" w:eastAsia="zh-CN"/>
                <w14:textFill>
                  <w14:solidFill>
                    <w14:schemeClr w14:val="tx1"/>
                  </w14:solidFill>
                </w14:textFill>
              </w:rPr>
              <w:t>和</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措施的适宜性、充分性和有效性，检查安全生产和职业卫生管理目标、指标的完成情况，并将自评报告向本单位所有部门、相关方和从业人员通报。</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未开展年度自评的，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一级要素不得分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对上次自评或评审中提出的问题未有效整改的，发现一处扣2分；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单位主要负责人未组织和参与自评工作的，不得分；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有关人员不清楚相关内容的，发现一人扣2分，发现两人不得分。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13.1.2测绘单位每年自评结果应形成正式文件，作为年度安全绩效考核的重要依据。测绘单位发生生产安全责任死亡事故的，应重新进行安全绩效评定，全面查找安全生产标准化管理体系中存在缺陷。</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自评报告未作为部门、单位、岗位人员年度安全绩效考评的重要依据的，不得分；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未与部门、单位安全绩效考评挂钩的，发现一处扣2分；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发生死亡事故或使用的仪器设备发生重大变化后，未全面查找安全生产标准化管理体系中存在的缺陷的，不得分。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11</w:t>
            </w:r>
          </w:p>
        </w:tc>
        <w:tc>
          <w:tcPr>
            <w:tcW w:w="6625"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28"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13.2持续改进</w:t>
            </w:r>
          </w:p>
        </w:tc>
        <w:tc>
          <w:tcPr>
            <w:tcW w:w="4199" w:type="dxa"/>
            <w:vAlign w:val="center"/>
          </w:tcPr>
          <w:p>
            <w:pPr>
              <w:keepNext w:val="0"/>
              <w:keepLines w:val="0"/>
              <w:widowControl/>
              <w:suppressLineNumbers w:val="0"/>
              <w:spacing w:before="0" w:beforeAutospacing="0" w:after="0" w:afterAutospacing="0"/>
              <w:ind w:left="0" w:right="0"/>
              <w:jc w:val="both"/>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测绘单位应根据本《指南》自评结果和安全生产预测预警系统所反映的趋势，以及绩效评估情况，客观分析本单位安全生产标准化管理体系的运行质量，及时调整完善相关制度文件和过程管控，持续改进，不断提高安全生产质量。</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15</w:t>
            </w:r>
          </w:p>
        </w:tc>
        <w:tc>
          <w:tcPr>
            <w:tcW w:w="5101"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安全管理实际情况与制度文件不符的，</w:t>
            </w:r>
            <w:r>
              <w:rPr>
                <w:rFonts w:hint="default" w:ascii="Times New Roman" w:hAnsi="Times New Roman" w:eastAsia="宋体" w:cs="Times New Roman"/>
                <w:b/>
                <w:bCs/>
                <w:i/>
                <w:iCs/>
                <w:color w:val="000000" w:themeColor="text1"/>
                <w:sz w:val="21"/>
                <w:szCs w:val="21"/>
                <w:lang w:val="en-US" w:eastAsia="zh-CN"/>
                <w14:textFill>
                  <w14:solidFill>
                    <w14:schemeClr w14:val="tx1"/>
                  </w14:solidFill>
                </w14:textFill>
              </w:rPr>
              <w:t>二级要素不得分</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单位安全生产标准化管理体系未有效运行的，不得分；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现场发现自评或之前评审存在问题未整改的，不得分；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高层管理人员不清楚改进方向的，扣5分；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部门负责人不清楚改进方向的，发现一人扣5分，发现两人不得分；</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20" w:firstLineChars="200"/>
              <w:jc w:val="both"/>
              <w:textAlignment w:val="auto"/>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未制定改进工作计划和措施的，扣5分；改进计划与评估结果、自评、评审结果不一致的，发现一处扣2分，发现两处不得分；未有效改进的，发现一处扣2分，发现两处不得分。</w:t>
            </w:r>
          </w:p>
        </w:tc>
        <w:tc>
          <w:tcPr>
            <w:tcW w:w="1524"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816"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90" w:type="dxa"/>
            <w:vMerge w:val="continue"/>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c>
          <w:tcPr>
            <w:tcW w:w="5027"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小计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15</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得分小计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合计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26</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得分合计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917" w:type="dxa"/>
            <w:gridSpan w:val="3"/>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总计</w:t>
            </w:r>
          </w:p>
        </w:tc>
        <w:tc>
          <w:tcPr>
            <w:tcW w:w="816" w:type="dxa"/>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1"/>
                <w:szCs w:val="21"/>
                <w:lang w:val="en-US"/>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SA"/>
                <w14:textFill>
                  <w14:solidFill>
                    <w14:schemeClr w14:val="tx1"/>
                  </w14:solidFill>
                </w14:textFill>
              </w:rPr>
              <w:t>800</w:t>
            </w:r>
          </w:p>
        </w:tc>
        <w:tc>
          <w:tcPr>
            <w:tcW w:w="6625" w:type="dxa"/>
            <w:gridSpan w:val="2"/>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r>
              <w:rPr>
                <w:rFonts w:hint="default" w:ascii="Times New Roman" w:hAnsi="Times New Roman" w:eastAsia="宋体" w:cs="Times New Roman"/>
                <w:b/>
                <w:bCs/>
                <w:color w:val="000000" w:themeColor="text1"/>
                <w:sz w:val="21"/>
                <w:szCs w:val="21"/>
                <w:lang w:val="en-US" w:eastAsia="zh-CN"/>
                <w14:textFill>
                  <w14:solidFill>
                    <w14:schemeClr w14:val="tx1"/>
                  </w14:solidFill>
                </w14:textFill>
              </w:rPr>
              <w:t>得分总计</w:t>
            </w:r>
          </w:p>
        </w:tc>
        <w:tc>
          <w:tcPr>
            <w:tcW w:w="816" w:type="dxa"/>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14:textFill>
                  <w14:solidFill>
                    <w14:schemeClr w14:val="tx1"/>
                  </w14:solidFill>
                </w14:textFill>
              </w:rPr>
            </w:pPr>
          </w:p>
        </w:tc>
      </w:tr>
    </w:tbl>
    <w:p>
      <w:pPr>
        <w:widowControl/>
        <w:rPr>
          <w:rFonts w:hint="default" w:ascii="Times New Roman" w:hAnsi="Times New Roman" w:eastAsia="宋体" w:cs="Times New Roman"/>
          <w:color w:val="000000" w:themeColor="text1"/>
          <w:sz w:val="21"/>
          <w:szCs w:val="21"/>
          <w:u w:val="single"/>
          <w:lang w:val="en-US" w:eastAsia="zh-CN"/>
          <w14:textFill>
            <w14:solidFill>
              <w14:schemeClr w14:val="tx1"/>
            </w14:solidFill>
          </w14:textFill>
        </w:rPr>
        <w:sectPr>
          <w:pgSz w:w="16838" w:h="11906" w:orient="landscape"/>
          <w:pgMar w:top="1800" w:right="1440" w:bottom="1800" w:left="1440" w:header="851" w:footer="992" w:gutter="0"/>
          <w:cols w:space="425" w:num="1"/>
          <w:docGrid w:type="lines" w:linePitch="312" w:charSpace="0"/>
        </w:sectPr>
      </w:pPr>
    </w:p>
    <w:p>
      <w:pPr>
        <w:pStyle w:val="2"/>
        <w:rPr>
          <w:rFonts w:hint="default" w:ascii="Times New Roman" w:hAnsi="Times New Roman" w:cs="Times New Roman"/>
          <w:color w:val="000000" w:themeColor="text1"/>
          <w:lang w:val="en-US" w:eastAsia="zh-CN"/>
          <w14:textFill>
            <w14:solidFill>
              <w14:schemeClr w14:val="tx1"/>
            </w14:solidFill>
          </w14:textFill>
        </w:rPr>
      </w:pPr>
      <w:bookmarkStart w:id="861" w:name="_GoBack"/>
      <w:bookmarkEnd w:id="861"/>
      <w:bookmarkStart w:id="809" w:name="_Toc602"/>
      <w:bookmarkStart w:id="810" w:name="_Toc169"/>
      <w:bookmarkStart w:id="811" w:name="_Toc7592"/>
      <w:bookmarkStart w:id="812" w:name="_Toc16162"/>
      <w:bookmarkStart w:id="813" w:name="_Toc335"/>
      <w:bookmarkStart w:id="814" w:name="_Toc6251"/>
      <w:bookmarkStart w:id="815" w:name="_Toc27194"/>
      <w:bookmarkStart w:id="816" w:name="_Toc8742"/>
      <w:bookmarkStart w:id="817" w:name="_Toc14828"/>
      <w:bookmarkStart w:id="818" w:name="_Toc24303"/>
      <w:bookmarkStart w:id="819" w:name="_Toc24260"/>
      <w:bookmarkStart w:id="820" w:name="_Toc31898"/>
      <w:bookmarkStart w:id="821" w:name="_Toc30481"/>
      <w:bookmarkStart w:id="822" w:name="_Toc24109"/>
      <w:bookmarkStart w:id="823" w:name="_Toc1182"/>
      <w:r>
        <w:rPr>
          <w:rFonts w:hint="default" w:ascii="Times New Roman" w:hAnsi="Times New Roman" w:cs="Times New Roman"/>
          <w:color w:val="000000" w:themeColor="text1"/>
          <w:lang w:val="en-US" w:eastAsia="zh-CN"/>
          <w14:textFill>
            <w14:solidFill>
              <w14:schemeClr w14:val="tx1"/>
            </w14:solidFill>
          </w14:textFill>
        </w:rPr>
        <w:t>附录N 安全生产标准化资料台账参考目录</w:t>
      </w:r>
      <w:bookmarkEnd w:id="809"/>
      <w:bookmarkEnd w:id="810"/>
      <w:bookmarkEnd w:id="811"/>
      <w:bookmarkEnd w:id="812"/>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w:t>
      </w:r>
      <w:r>
        <w:rPr>
          <w:rFonts w:hint="default" w:ascii="Times New Roman" w:hAnsi="Times New Roman" w:cs="Times New Roman"/>
          <w:color w:val="000000" w:themeColor="text1"/>
          <w:lang w:val="en-US" w:eastAsia="zh-CN"/>
          <w14:textFill>
            <w14:solidFill>
              <w14:schemeClr w14:val="tx1"/>
            </w14:solidFill>
          </w14:textFill>
        </w:rPr>
        <w:t>N</w:t>
      </w:r>
    </w:p>
    <w:p>
      <w:pPr>
        <w:jc w:val="center"/>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(资料性)</w:t>
      </w:r>
    </w:p>
    <w:p>
      <w:pPr>
        <w:ind w:firstLine="2108" w:firstLineChars="10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安全生产标准化资料台账参考目录</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bl>
      <w:tblPr>
        <w:tblStyle w:val="8"/>
        <w:tblW w:w="87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61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资料（档案）名称</w:t>
            </w:r>
          </w:p>
        </w:tc>
        <w:tc>
          <w:tcPr>
            <w:tcW w:w="6124" w:type="dxa"/>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b/>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b/>
                <w:color w:val="000000" w:themeColor="text1"/>
                <w:sz w:val="21"/>
                <w:szCs w:val="21"/>
                <w:lang w:val="en-US" w:eastAsia="zh-CN"/>
                <w14:textFill>
                  <w14:solidFill>
                    <w14:schemeClr w14:val="tx1"/>
                  </w14:solidFill>
                </w14:textFill>
              </w:rPr>
              <w:t>备注（包括但不限于）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目标职责</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归档存放年度安全生产目标、安全生产目标指标考核相关文件资料。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组织机构和职责</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归档存放安全生产组织领导机构（安全生产委员会）、安全生产管理机构的设置文件、专职或兼职安全生产管理人员任命文件、变更文件、各层次的安全生产责任制职责文件、相关人员的资质证书等。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工作方案和工作计划</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归档存放年度安全生产工作方案、工作计划等资料文件。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法律法规标准清单及对应资料</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收集与整理归档适用于本单位相关的法律法规和标准。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安全生产管理、责任制度</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归档存放本单位的生产安全生产管理制度、全员安全生产责任制等资料文件。各层次的安全生产责任和签订的安全生产责任书等资料文件。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安全操作规程</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归档存放本单位安全操作规程等资料文件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安全教育培训</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归档存放本单位安全教育培训相关通知、签到表、培训内容、培训考核、三级安全教育培训、员工安全档案资料等相关内容。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安全生产考核</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归档存放年度安全生产考核、安全生产标准化考核、绩效评定资料文件。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安全生产例会</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归档存放安全生产例会（通知、签到表、会议纪要等）记录。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安全生产检查</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归档存放安全检查计划、安全检查记录文档等。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隐患排查治理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归档存放隐患排查记录、整改通知书、整改记录 、验收记录等。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生产安全风险与分级管控</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归档存放本单位生产安全风险辨识、评估、分级管控相应的生产安全事故风险源清单、风险管控措施、分级管控等相关内容。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安全应急文件通知</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归档存放安全应急文件通知等相关文件，包括本单位、上级领导单位、政府和相关职能部门等发放的相关文件。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安全投入</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归档存放本单位安全投入计划、台账、票据、凭证等相关内容。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安全防护用品</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归档存放安全防护用品的购买计划、领用登记表、相关发票等。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仪器设备设施管理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归档存放本单位的仪器设备设施台账、设备设施检维修记录、检测记录、对仪器借出、使用、归还进行记录备案等。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安全技术交底</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归档存放项目安全技术交底的相关资料。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应急预案</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归档存放应急预案及应急演练等相关文件资料。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应急设备、装备、物资</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归档存放应急设备、装备、物资台账、资料文件。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安全生产奖惩记录</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归档存放安全生产奖惩记录等相关文件资料。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相关方安全管理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归档存放相关方安全管理记录。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消防安全管理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归档存放消防安全管理资料文件。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用电安全管理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归档存放用电安全管理资料文件。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外业作业安全管理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项目安全生产备案表（开工单）”、住宿安全管理、交通安全管理、作业相关安全记录、有限空间作业等危险作业审批表格、作业人员持证情况、重大重点测绘工程项目专项安全措施方案等与外业作业相关的资料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事故管理</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归档存放事故统计表、发生安全事故后的事故调查报告等相关文件资料。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660" w:type="dxa"/>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年度自评（总结）</w:t>
            </w:r>
          </w:p>
        </w:tc>
        <w:tc>
          <w:tcPr>
            <w:tcW w:w="612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归档存放年度《自评报告》《总结报告》资料文件。</w:t>
            </w:r>
          </w:p>
        </w:tc>
      </w:tr>
    </w:tbl>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br w:type="page"/>
      </w:r>
    </w:p>
    <w:p>
      <w:pPr>
        <w:pStyle w:val="2"/>
        <w:rPr>
          <w:rFonts w:hint="default" w:ascii="Times New Roman" w:hAnsi="Times New Roman" w:cs="Times New Roman"/>
          <w:color w:val="000000" w:themeColor="text1"/>
          <w:lang w:val="en-US" w:eastAsia="zh-CN"/>
          <w14:textFill>
            <w14:solidFill>
              <w14:schemeClr w14:val="tx1"/>
            </w14:solidFill>
          </w14:textFill>
        </w:rPr>
      </w:pPr>
      <w:bookmarkStart w:id="824" w:name="_Toc18580"/>
      <w:bookmarkStart w:id="825" w:name="_Toc3659"/>
      <w:bookmarkStart w:id="826" w:name="_Toc15090"/>
      <w:bookmarkStart w:id="827" w:name="_Toc22624"/>
      <w:bookmarkStart w:id="828" w:name="_Toc30503"/>
      <w:r>
        <w:rPr>
          <w:rFonts w:hint="default" w:ascii="Times New Roman" w:hAnsi="Times New Roman" w:cs="Times New Roman"/>
          <w:color w:val="000000" w:themeColor="text1"/>
          <w:lang w:val="en-US" w:eastAsia="zh-CN"/>
          <w14:textFill>
            <w14:solidFill>
              <w14:schemeClr w14:val="tx1"/>
            </w14:solidFill>
          </w14:textFill>
        </w:rPr>
        <w:t>附录O 安全生产标准化自评报告</w:t>
      </w:r>
      <w:bookmarkEnd w:id="813"/>
      <w:bookmarkEnd w:id="824"/>
      <w:bookmarkEnd w:id="825"/>
      <w:bookmarkEnd w:id="826"/>
      <w:bookmarkEnd w:id="827"/>
      <w:bookmarkEnd w:id="828"/>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w:t>
      </w:r>
      <w:bookmarkEnd w:id="814"/>
      <w:bookmarkEnd w:id="815"/>
      <w:bookmarkEnd w:id="816"/>
      <w:bookmarkEnd w:id="817"/>
      <w:bookmarkEnd w:id="818"/>
      <w:bookmarkEnd w:id="819"/>
      <w:bookmarkEnd w:id="820"/>
      <w:bookmarkEnd w:id="821"/>
      <w:bookmarkEnd w:id="822"/>
      <w:bookmarkEnd w:id="823"/>
      <w:r>
        <w:rPr>
          <w:rFonts w:hint="default" w:ascii="Times New Roman" w:hAnsi="Times New Roman" w:cs="Times New Roman"/>
          <w:b/>
          <w:bCs/>
          <w:color w:val="000000" w:themeColor="text1"/>
          <w:lang w:val="en-US" w:eastAsia="zh-CN"/>
          <w14:textFill>
            <w14:solidFill>
              <w14:schemeClr w14:val="tx1"/>
            </w14:solidFill>
          </w14:textFill>
        </w:rPr>
        <w:t>O</w:t>
      </w:r>
    </w:p>
    <w:p>
      <w:pPr>
        <w:jc w:val="center"/>
        <w:rPr>
          <w:rFonts w:hint="default" w:ascii="Times New Roman" w:hAnsi="Times New Roman" w:cs="Times New Roman"/>
          <w:b/>
          <w:bCs/>
          <w:color w:val="000000" w:themeColor="text1"/>
          <w:lang w:val="en-US" w:eastAsia="zh-CN"/>
          <w14:textFill>
            <w14:solidFill>
              <w14:schemeClr w14:val="tx1"/>
            </w14:solidFill>
          </w14:textFill>
        </w:rPr>
      </w:pPr>
      <w:bookmarkStart w:id="829" w:name="_Toc8054"/>
      <w:bookmarkStart w:id="830" w:name="_Toc29887"/>
      <w:bookmarkStart w:id="831" w:name="_Toc30442"/>
      <w:bookmarkStart w:id="832" w:name="_Toc31484"/>
      <w:r>
        <w:rPr>
          <w:rFonts w:hint="default" w:ascii="Times New Roman" w:hAnsi="Times New Roman" w:cs="Times New Roman"/>
          <w:b/>
          <w:bCs/>
          <w:color w:val="000000" w:themeColor="text1"/>
          <w:lang w:val="en-US" w:eastAsia="zh-CN"/>
          <w14:textFill>
            <w14:solidFill>
              <w14:schemeClr w14:val="tx1"/>
            </w14:solidFill>
          </w14:textFill>
        </w:rPr>
        <w:t>(资料性)</w:t>
      </w:r>
      <w:bookmarkEnd w:id="829"/>
      <w:bookmarkEnd w:id="830"/>
      <w:bookmarkEnd w:id="831"/>
      <w:bookmarkEnd w:id="832"/>
    </w:p>
    <w:p>
      <w:pPr>
        <w:ind w:firstLine="2108" w:firstLineChars="1000"/>
        <w:jc w:val="both"/>
        <w:rPr>
          <w:rFonts w:hint="default" w:ascii="Times New Roman" w:hAnsi="Times New Roman" w:cs="Times New Roman"/>
          <w:b/>
          <w:bCs/>
          <w:color w:val="000000" w:themeColor="text1"/>
          <w:lang w:val="en-US" w:eastAsia="zh-CN"/>
          <w14:textFill>
            <w14:solidFill>
              <w14:schemeClr w14:val="tx1"/>
            </w14:solidFill>
          </w14:textFill>
        </w:rPr>
      </w:pPr>
      <w:bookmarkStart w:id="833" w:name="_Toc25933"/>
      <w:bookmarkStart w:id="834" w:name="_Toc12147"/>
      <w:bookmarkStart w:id="835" w:name="_Toc24072"/>
      <w:bookmarkStart w:id="836" w:name="_Toc7989"/>
      <w:bookmarkStart w:id="837" w:name="_Toc13236"/>
      <w:bookmarkStart w:id="838" w:name="_Toc7459"/>
      <w:r>
        <w:rPr>
          <w:rFonts w:hint="default" w:ascii="Times New Roman" w:hAnsi="Times New Roman" w:cs="Times New Roman"/>
          <w:b/>
          <w:bCs/>
          <w:color w:val="000000" w:themeColor="text1"/>
          <w:lang w:val="en-US" w:eastAsia="zh-CN"/>
          <w14:textFill>
            <w14:solidFill>
              <w14:schemeClr w14:val="tx1"/>
            </w14:solidFill>
          </w14:textFill>
        </w:rPr>
        <w:t>安全生产标准化自评报告（模板）</w:t>
      </w:r>
      <w:bookmarkEnd w:id="833"/>
      <w:bookmarkEnd w:id="834"/>
      <w:bookmarkEnd w:id="835"/>
      <w:bookmarkEnd w:id="836"/>
      <w:bookmarkEnd w:id="837"/>
      <w:bookmarkEnd w:id="838"/>
    </w:p>
    <w:p>
      <w:pPr>
        <w:pStyle w:val="11"/>
        <w:shd w:val="clear" w:color="auto" w:fill="auto"/>
        <w:tabs>
          <w:tab w:val="left" w:leader="dot" w:pos="3383"/>
        </w:tabs>
        <w:adjustRightInd w:val="0"/>
        <w:snapToGrid w:val="0"/>
        <w:spacing w:line="360" w:lineRule="auto"/>
        <w:jc w:val="center"/>
        <w:rPr>
          <w:rFonts w:hint="default" w:ascii="Times New Roman" w:hAnsi="Times New Roman" w:cs="Times New Roman"/>
          <w:color w:val="000000" w:themeColor="text1"/>
          <w:sz w:val="52"/>
          <w:szCs w:val="52"/>
          <w14:textFill>
            <w14:solidFill>
              <w14:schemeClr w14:val="tx1"/>
            </w14:solidFill>
          </w14:textFill>
        </w:rPr>
      </w:pPr>
      <w:r>
        <w:rPr>
          <w:rFonts w:hint="default" w:ascii="Times New Roman" w:hAnsi="Times New Roman" w:cs="Times New Roman"/>
          <w:color w:val="000000" w:themeColor="text1"/>
          <w:sz w:val="52"/>
          <w:szCs w:val="52"/>
          <w14:textFill>
            <w14:solidFill>
              <w14:schemeClr w14:val="tx1"/>
            </w14:solidFill>
          </w14:textFill>
        </w:rPr>
        <w:t>XXX（单位名称）安全生产标准化</w:t>
      </w:r>
    </w:p>
    <w:p>
      <w:pPr>
        <w:pStyle w:val="11"/>
        <w:shd w:val="clear" w:color="auto" w:fill="auto"/>
        <w:tabs>
          <w:tab w:val="left" w:leader="dot" w:pos="3383"/>
        </w:tabs>
        <w:adjustRightInd w:val="0"/>
        <w:snapToGrid w:val="0"/>
        <w:spacing w:line="360" w:lineRule="auto"/>
        <w:jc w:val="center"/>
        <w:rPr>
          <w:rFonts w:hint="default" w:ascii="Times New Roman" w:hAnsi="Times New Roman" w:cs="Times New Roman"/>
          <w:color w:val="000000" w:themeColor="text1"/>
          <w:sz w:val="72"/>
          <w:szCs w:val="72"/>
          <w14:textFill>
            <w14:solidFill>
              <w14:schemeClr w14:val="tx1"/>
            </w14:solidFill>
          </w14:textFill>
        </w:rPr>
      </w:pPr>
      <w:r>
        <w:rPr>
          <w:rFonts w:hint="default" w:ascii="Times New Roman" w:hAnsi="Times New Roman" w:cs="Times New Roman"/>
          <w:color w:val="000000" w:themeColor="text1"/>
          <w:sz w:val="72"/>
          <w:szCs w:val="72"/>
          <w14:textFill>
            <w14:solidFill>
              <w14:schemeClr w14:val="tx1"/>
            </w14:solidFill>
          </w14:textFill>
        </w:rPr>
        <w:t>自评报告</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单位名称（盖章）：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作业分类：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自评得分：            自评等级：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自评日期        年        月         日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是否在单位内部公示    □是    □否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是否申请定级          □是    □否       </w:t>
      </w:r>
    </w:p>
    <w:p>
      <w:pPr>
        <w:widowControl/>
        <w:ind w:firstLine="640" w:firstLineChars="200"/>
        <w:rPr>
          <w:rFonts w:hint="default" w:ascii="Times New Roman" w:hAnsi="Times New Roman" w:eastAsia="华文仿宋" w:cs="Times New Roman"/>
          <w:color w:val="000000" w:themeColor="text1"/>
          <w:sz w:val="32"/>
          <w:szCs w:val="32"/>
          <w:lang w:val="en-US" w:eastAsia="zh-CN"/>
          <w14:textFill>
            <w14:solidFill>
              <w14:schemeClr w14:val="tx1"/>
            </w14:solidFill>
          </w14:textFill>
        </w:rPr>
      </w:pPr>
      <w:r>
        <w:rPr>
          <w:rFonts w:hint="default" w:ascii="Times New Roman" w:hAnsi="Times New Roman" w:eastAsia="华文仿宋" w:cs="Times New Roman"/>
          <w:color w:val="000000" w:themeColor="text1"/>
          <w:sz w:val="32"/>
          <w:szCs w:val="32"/>
          <w:lang w:val="en-US" w:eastAsia="zh-CN"/>
          <w14:textFill>
            <w14:solidFill>
              <w14:schemeClr w14:val="tx1"/>
            </w14:solidFill>
          </w14:textFill>
        </w:rPr>
        <w:t xml:space="preserve">申请等级              □二级  □三级   </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bl>
      <w:tblPr>
        <w:tblStyle w:val="7"/>
        <w:tblW w:w="92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
        <w:gridCol w:w="587"/>
        <w:gridCol w:w="201"/>
        <w:gridCol w:w="1202"/>
        <w:gridCol w:w="282"/>
        <w:gridCol w:w="1311"/>
        <w:gridCol w:w="1714"/>
        <w:gridCol w:w="1428"/>
        <w:gridCol w:w="158"/>
        <w:gridCol w:w="14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10"/>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单位名称</w:t>
            </w:r>
          </w:p>
        </w:tc>
        <w:tc>
          <w:tcPr>
            <w:tcW w:w="7782" w:type="dxa"/>
            <w:gridSpan w:val="8"/>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住    所</w:t>
            </w:r>
          </w:p>
        </w:tc>
        <w:tc>
          <w:tcPr>
            <w:tcW w:w="7782" w:type="dxa"/>
            <w:gridSpan w:val="8"/>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作业分类</w:t>
            </w:r>
          </w:p>
        </w:tc>
        <w:tc>
          <w:tcPr>
            <w:tcW w:w="7782" w:type="dxa"/>
            <w:gridSpan w:val="8"/>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安全生产</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管理机构</w:t>
            </w:r>
          </w:p>
        </w:tc>
        <w:tc>
          <w:tcPr>
            <w:tcW w:w="7782" w:type="dxa"/>
            <w:gridSpan w:val="8"/>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法定代表人</w:t>
            </w:r>
          </w:p>
        </w:tc>
        <w:tc>
          <w:tcPr>
            <w:tcW w:w="1685"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  话</w:t>
            </w:r>
          </w:p>
        </w:tc>
        <w:tc>
          <w:tcPr>
            <w:tcW w:w="1714"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28"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传    真</w:t>
            </w:r>
          </w:p>
        </w:tc>
        <w:tc>
          <w:tcPr>
            <w:tcW w:w="164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Merge w:val="restart"/>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联 系 人</w:t>
            </w:r>
          </w:p>
        </w:tc>
        <w:tc>
          <w:tcPr>
            <w:tcW w:w="1685" w:type="dxa"/>
            <w:gridSpan w:val="3"/>
            <w:vMerge w:val="restart"/>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  话</w:t>
            </w:r>
          </w:p>
        </w:tc>
        <w:tc>
          <w:tcPr>
            <w:tcW w:w="1714"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28"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传    真</w:t>
            </w:r>
          </w:p>
        </w:tc>
        <w:tc>
          <w:tcPr>
            <w:tcW w:w="164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04" w:type="dxa"/>
            <w:gridSpan w:val="2"/>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685" w:type="dxa"/>
            <w:gridSpan w:val="3"/>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311"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手  机</w:t>
            </w:r>
          </w:p>
        </w:tc>
        <w:tc>
          <w:tcPr>
            <w:tcW w:w="1714"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28"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电子信箱</w:t>
            </w:r>
          </w:p>
        </w:tc>
        <w:tc>
          <w:tcPr>
            <w:tcW w:w="1644"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9286" w:type="dxa"/>
            <w:gridSpan w:val="10"/>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本次自评前本单位曾经取得的标准化等级：   □二级   □三级    □无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9286" w:type="dxa"/>
            <w:gridSpan w:val="10"/>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请注明上级单位名称：</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restart"/>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单位安全生产标准化工作组主要成员</w:t>
            </w:r>
          </w:p>
        </w:tc>
        <w:tc>
          <w:tcPr>
            <w:tcW w:w="788"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姓  名</w:t>
            </w: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所在部门及职务/职称</w:t>
            </w: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电  话</w:t>
            </w: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组长</w:t>
            </w: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Merge w:val="restart"/>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成员</w:t>
            </w: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Merge w:val="continue"/>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Merge w:val="continue"/>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Merge w:val="continue"/>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17" w:type="dxa"/>
            <w:vMerge w:val="continue"/>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788" w:type="dxa"/>
            <w:gridSpan w:val="2"/>
            <w:vMerge w:val="continue"/>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202"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3307" w:type="dxa"/>
            <w:gridSpan w:val="3"/>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586" w:type="dxa"/>
            <w:gridSpan w:val="2"/>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c>
          <w:tcPr>
            <w:tcW w:w="1486" w:type="dxa"/>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jc w:val="center"/>
        </w:trPr>
        <w:tc>
          <w:tcPr>
            <w:tcW w:w="9286" w:type="dxa"/>
            <w:gridSpan w:val="10"/>
            <w:vAlign w:val="center"/>
          </w:tcPr>
          <w:p>
            <w:pPr>
              <w:keepNext w:val="0"/>
              <w:keepLines w:val="0"/>
              <w:widowControl/>
              <w:suppressLineNumbers w:val="0"/>
              <w:spacing w:before="0" w:beforeAutospacing="0" w:after="0" w:afterAutospacing="0"/>
              <w:ind w:left="0" w:right="0"/>
              <w:jc w:val="center"/>
              <w:rPr>
                <w:rFonts w:hint="default" w:ascii="Times New Roman" w:hAnsi="Times New Roman" w:eastAsia="宋体" w:cs="Times New Roman"/>
                <w:color w:val="000000" w:themeColor="text1"/>
                <w:sz w:val="28"/>
                <w:szCs w:val="28"/>
                <w:lang w:val="en-US" w:eastAsia="zh-CN"/>
                <w14:textFill>
                  <w14:solidFill>
                    <w14:schemeClr w14:val="tx1"/>
                  </w14:solidFill>
                </w14:textFill>
              </w:rPr>
            </w:pPr>
            <w:r>
              <w:rPr>
                <w:rFonts w:hint="default" w:ascii="Times New Roman" w:hAnsi="Times New Roman" w:eastAsia="宋体" w:cs="Times New Roman"/>
                <w:color w:val="000000" w:themeColor="text1"/>
                <w:sz w:val="28"/>
                <w:szCs w:val="28"/>
                <w:lang w:val="en-US" w:eastAsia="zh-CN"/>
                <w14:textFill>
                  <w14:solidFill>
                    <w14:schemeClr w14:val="tx1"/>
                  </w14:solidFill>
                </w14:textFill>
              </w:rPr>
              <w:t>自评总结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5" w:hRule="atLeast"/>
          <w:jc w:val="center"/>
        </w:trPr>
        <w:tc>
          <w:tcPr>
            <w:tcW w:w="9286" w:type="dxa"/>
            <w:gridSpan w:val="10"/>
            <w:vAlign w:val="center"/>
          </w:tcPr>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1.本单位概况。</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2.本单位生产安全事故情况（本自评年度内）。</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3.本单位安全生产标准化工作取得成效。</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4.自评打分表（得分情况、扣分项目）及整改完成情况。</w:t>
            </w:r>
          </w:p>
          <w:p>
            <w:pPr>
              <w:keepNext w:val="0"/>
              <w:keepLines w:val="0"/>
              <w:widowControl/>
              <w:suppressLineNumbers w:val="0"/>
              <w:spacing w:before="0" w:beforeAutospacing="0" w:after="0" w:afterAutospacing="0"/>
              <w:ind w:left="0" w:right="0"/>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    5.本单位主要负责人承诺书（申请定级的单位提交）。</w:t>
            </w:r>
          </w:p>
        </w:tc>
      </w:tr>
    </w:tbl>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自评报告填写说明：</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1.单位名称、住所、类型按营业执照（行政许可证照）上登记的填写。</w:t>
      </w:r>
    </w:p>
    <w:p>
      <w:pPr>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2.作业分类：</w:t>
      </w:r>
      <w:r>
        <w:rPr>
          <w:rFonts w:hint="default" w:ascii="Times New Roman" w:hAnsi="Times New Roman" w:eastAsia="宋体" w:cs="Times New Roman"/>
          <w:color w:val="000000" w:themeColor="text1"/>
          <w:sz w:val="21"/>
          <w:szCs w:val="21"/>
          <w:lang w:val="en-US" w:eastAsia="zh-CN" w:bidi="ar"/>
          <w14:textFill>
            <w14:solidFill>
              <w14:schemeClr w14:val="tx1"/>
            </w14:solidFill>
          </w14:textFill>
        </w:rPr>
        <w:t>城镇、农村地区；铁路、公路区域；滩涂地区；人烟稀少地区或草原、林区、山区；涉水作业；海域作业</w:t>
      </w:r>
      <w:r>
        <w:rPr>
          <w:rFonts w:hint="default" w:ascii="Times New Roman" w:hAnsi="Times New Roman" w:eastAsia="宋体" w:cs="Times New Roman"/>
          <w:color w:val="000000" w:themeColor="text1"/>
          <w:sz w:val="21"/>
          <w:szCs w:val="21"/>
          <w:lang w:val="en-US" w:eastAsia="zh-CN"/>
          <w14:textFill>
            <w14:solidFill>
              <w14:schemeClr w14:val="tx1"/>
            </w14:solidFill>
          </w14:textFill>
        </w:rPr>
        <w:t>等，可根据作业实际情况，多项选择。</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 xml:space="preserve">3.单位概况：主要包括经营范围、主营业务、规模（含职工人数）、机构设置、在行业中所处地位、安全生产工作特点等。 </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4.本单位生产安全事故情况：包括事故起数、伤亡人数、财产损失等。</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5.自评打分表（得分情况、扣分项目）及整改完成情况需另附表。</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r>
        <w:rPr>
          <w:rFonts w:hint="default" w:ascii="Times New Roman" w:hAnsi="Times New Roman" w:eastAsia="宋体" w:cs="Times New Roman"/>
          <w:color w:val="000000" w:themeColor="text1"/>
          <w:sz w:val="21"/>
          <w:szCs w:val="21"/>
          <w:lang w:val="en-US" w:eastAsia="zh-CN"/>
          <w14:textFill>
            <w14:solidFill>
              <w14:schemeClr w14:val="tx1"/>
            </w14:solidFill>
          </w14:textFill>
        </w:rPr>
        <w:t>6.本单位主要负责人承诺书内容应当符合本单位的实际情况设计。</w:t>
      </w: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pStyle w:val="2"/>
        <w:rPr>
          <w:rFonts w:hint="default" w:ascii="Times New Roman" w:hAnsi="Times New Roman" w:cs="Times New Roman"/>
          <w:color w:val="000000" w:themeColor="text1"/>
          <w:lang w:val="en-US" w:eastAsia="zh-CN"/>
          <w14:textFill>
            <w14:solidFill>
              <w14:schemeClr w14:val="tx1"/>
            </w14:solidFill>
          </w14:textFill>
        </w:rPr>
      </w:pPr>
      <w:bookmarkStart w:id="839" w:name="_Toc8705"/>
      <w:bookmarkStart w:id="840" w:name="_Toc29066"/>
      <w:bookmarkStart w:id="841" w:name="_Toc25921"/>
      <w:bookmarkStart w:id="842" w:name="_Toc1107"/>
      <w:bookmarkStart w:id="843" w:name="_Toc26610"/>
      <w:bookmarkStart w:id="844" w:name="_Toc12009"/>
      <w:bookmarkStart w:id="845" w:name="_Toc2261"/>
      <w:bookmarkStart w:id="846" w:name="_Toc5367"/>
      <w:bookmarkStart w:id="847" w:name="_Toc17675"/>
      <w:bookmarkStart w:id="848" w:name="_Toc26969"/>
      <w:bookmarkStart w:id="849" w:name="_Toc16005"/>
      <w:bookmarkStart w:id="850" w:name="_Toc13167"/>
      <w:bookmarkStart w:id="851" w:name="_Toc20768"/>
      <w:bookmarkStart w:id="852" w:name="_Toc31365"/>
      <w:r>
        <w:rPr>
          <w:rFonts w:hint="default" w:ascii="Times New Roman" w:hAnsi="Times New Roman" w:cs="Times New Roman"/>
          <w:color w:val="000000" w:themeColor="text1"/>
          <w:lang w:val="en-US" w:eastAsia="zh-CN"/>
          <w14:textFill>
            <w14:solidFill>
              <w14:schemeClr w14:val="tx1"/>
            </w14:solidFill>
          </w14:textFill>
        </w:rPr>
        <w:t>附录P 参考文献</w:t>
      </w:r>
      <w:bookmarkEnd w:id="839"/>
      <w:bookmarkEnd w:id="840"/>
      <w:bookmarkEnd w:id="841"/>
      <w:bookmarkEnd w:id="842"/>
      <w:bookmarkEnd w:id="843"/>
      <w:bookmarkEnd w:id="844"/>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r>
        <w:rPr>
          <w:rFonts w:hint="default" w:ascii="Times New Roman" w:hAnsi="Times New Roman" w:cs="Times New Roman"/>
          <w:b/>
          <w:bCs/>
          <w:color w:val="000000" w:themeColor="text1"/>
          <w:lang w:val="en-US" w:eastAsia="zh-CN"/>
          <w14:textFill>
            <w14:solidFill>
              <w14:schemeClr w14:val="tx1"/>
            </w14:solidFill>
          </w14:textFill>
        </w:rPr>
        <w:t>附  录P</w:t>
      </w:r>
      <w:bookmarkEnd w:id="845"/>
      <w:bookmarkEnd w:id="846"/>
      <w:bookmarkEnd w:id="847"/>
      <w:bookmarkEnd w:id="848"/>
      <w:bookmarkEnd w:id="849"/>
      <w:bookmarkEnd w:id="850"/>
      <w:bookmarkEnd w:id="851"/>
      <w:bookmarkEnd w:id="852"/>
    </w:p>
    <w:p>
      <w:pPr>
        <w:jc w:val="center"/>
        <w:rPr>
          <w:rFonts w:hint="default" w:ascii="Times New Roman" w:hAnsi="Times New Roman" w:cs="Times New Roman"/>
          <w:b/>
          <w:bCs/>
          <w:color w:val="000000" w:themeColor="text1"/>
          <w:lang w:val="en-US" w:eastAsia="zh-CN"/>
          <w14:textFill>
            <w14:solidFill>
              <w14:schemeClr w14:val="tx1"/>
            </w14:solidFill>
          </w14:textFill>
        </w:rPr>
      </w:pPr>
      <w:bookmarkStart w:id="853" w:name="_Toc257"/>
      <w:bookmarkStart w:id="854" w:name="_Toc24243"/>
      <w:r>
        <w:rPr>
          <w:rFonts w:hint="default" w:ascii="Times New Roman" w:hAnsi="Times New Roman" w:cs="Times New Roman"/>
          <w:b/>
          <w:bCs/>
          <w:color w:val="000000" w:themeColor="text1"/>
          <w:lang w:val="en-US" w:eastAsia="zh-CN"/>
          <w14:textFill>
            <w14:solidFill>
              <w14:schemeClr w14:val="tx1"/>
            </w14:solidFill>
          </w14:textFill>
        </w:rPr>
        <w:t>(资料性)</w:t>
      </w:r>
      <w:bookmarkEnd w:id="853"/>
      <w:bookmarkEnd w:id="854"/>
    </w:p>
    <w:p>
      <w:pPr>
        <w:ind w:firstLine="3162" w:firstLineChars="1500"/>
        <w:jc w:val="both"/>
        <w:rPr>
          <w:rFonts w:hint="default" w:ascii="Times New Roman" w:hAnsi="Times New Roman" w:cs="Times New Roman"/>
          <w:b/>
          <w:bCs/>
          <w:color w:val="000000" w:themeColor="text1"/>
          <w:lang w:val="en-US" w:eastAsia="zh-CN"/>
          <w14:textFill>
            <w14:solidFill>
              <w14:schemeClr w14:val="tx1"/>
            </w14:solidFill>
          </w14:textFill>
        </w:rPr>
      </w:pPr>
      <w:bookmarkStart w:id="855" w:name="_Toc29948"/>
      <w:bookmarkStart w:id="856" w:name="_Toc1611"/>
      <w:bookmarkStart w:id="857" w:name="_Toc26760"/>
      <w:bookmarkStart w:id="858" w:name="_Toc13799"/>
      <w:bookmarkStart w:id="859" w:name="_Toc25303"/>
      <w:bookmarkStart w:id="860" w:name="_Toc26894"/>
      <w:r>
        <w:rPr>
          <w:rFonts w:hint="default" w:ascii="Times New Roman" w:hAnsi="Times New Roman" w:cs="Times New Roman"/>
          <w:b/>
          <w:bCs/>
          <w:color w:val="000000" w:themeColor="text1"/>
          <w:lang w:val="en-US" w:eastAsia="zh-CN"/>
          <w14:textFill>
            <w14:solidFill>
              <w14:schemeClr w14:val="tx1"/>
            </w14:solidFill>
          </w14:textFill>
        </w:rPr>
        <w:t>参考文献</w:t>
      </w:r>
      <w:bookmarkEnd w:id="855"/>
      <w:bookmarkEnd w:id="856"/>
      <w:bookmarkEnd w:id="857"/>
      <w:bookmarkEnd w:id="858"/>
      <w:bookmarkEnd w:id="859"/>
      <w:bookmarkEnd w:id="860"/>
    </w:p>
    <w:p>
      <w:pPr>
        <w:pStyle w:val="12"/>
        <w:rPr>
          <w:rFonts w:hint="default" w:ascii="Times New Roman" w:hAnsi="Times New Roman" w:cs="Times New Roman"/>
          <w:color w:val="000000" w:themeColor="text1"/>
          <w14:textFill>
            <w14:solidFill>
              <w14:schemeClr w14:val="tx1"/>
            </w14:solidFill>
          </w14:textFill>
        </w:rPr>
      </w:pP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 55037-2022</w:t>
      </w:r>
      <w:r>
        <w:rPr>
          <w:rFonts w:hint="default" w:ascii="Times New Roman" w:hAns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 xml:space="preserve"> 建筑防火通用规范</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 39800.1-2020 个体防护装备配备规范 第 1 部分：总则</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45001-2020 职业健康安全管理体系要求及使用指南</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33000-2025 大中型企业安全生产标准化管理体系要求</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29639-2020 生产经营单位生产安全事故应急预案编制导则</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27921-2023 风险管理 风险评估技术</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24353-2022 风险管理 指南</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23694-2024 风险管理 术语</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w:t>
      </w:r>
      <w:r>
        <w:rPr>
          <w:rFonts w:hint="eastAsia" w:ascii="Times New Roman"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15499-1995 事故伤害损失工作日标准</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GB/T 6441-1986</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企业职工伤亡事故分类</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 xml:space="preserve">CH 1016-2008 </w:t>
      </w:r>
      <w:r>
        <w:rPr>
          <w:rFonts w:hint="default" w:ascii="Times New Roman" w:hAnsi="Times New Roman" w:eastAsia="宋体" w:cs="Times New Roman"/>
          <w:color w:val="000000" w:themeColor="text1"/>
          <w:lang w:val="en-US" w:eastAsia="zh-CN"/>
          <w14:textFill>
            <w14:solidFill>
              <w14:schemeClr w14:val="tx1"/>
            </w14:solidFill>
          </w14:textFill>
        </w:rPr>
        <w:t xml:space="preserve">  </w:t>
      </w:r>
      <w:r>
        <w:rPr>
          <w:rFonts w:hint="default" w:ascii="Times New Roman" w:hAnsi="Times New Roman" w:eastAsia="宋体" w:cs="Times New Roman"/>
          <w:color w:val="000000" w:themeColor="text1"/>
          <w14:textFill>
            <w14:solidFill>
              <w14:schemeClr w14:val="tx1"/>
            </w14:solidFill>
          </w14:textFill>
        </w:rPr>
        <w:t>测绘作业人员安全规范</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XF/T 3005-2020 单位消防安全评估</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YJ/T 9011-2019 生产经营单位生产安全事故应急预案评估指南</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YJ/T 9009-2015 生产安全事故应急演练评估规范</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14:textFill>
            <w14:solidFill>
              <w14:schemeClr w14:val="tx1"/>
            </w14:solidFill>
          </w14:textFill>
        </w:rPr>
      </w:pPr>
      <w:r>
        <w:rPr>
          <w:rFonts w:hint="default" w:ascii="Times New Roman" w:hAnsi="Times New Roman" w:eastAsia="宋体" w:cs="Times New Roman"/>
          <w:color w:val="000000" w:themeColor="text1"/>
          <w14:textFill>
            <w14:solidFill>
              <w14:schemeClr w14:val="tx1"/>
            </w14:solidFill>
          </w14:textFill>
        </w:rPr>
        <w:t>YJ/T 9007-2019 生产安全事故应急演练基本规范</w:t>
      </w:r>
    </w:p>
    <w:p>
      <w:pPr>
        <w:pStyle w:val="12"/>
        <w:keepNext w:val="0"/>
        <w:keepLines w:val="0"/>
        <w:pageBreakBefore w:val="0"/>
        <w:kinsoku/>
        <w:wordWrap/>
        <w:overflowPunct/>
        <w:topLinePunct w:val="0"/>
        <w:bidi w:val="0"/>
        <w:adjustRightInd/>
        <w:snapToGrid/>
        <w:spacing w:line="240" w:lineRule="auto"/>
        <w:ind w:firstLine="420" w:firstLineChars="200"/>
        <w:textAlignment w:val="auto"/>
        <w:rPr>
          <w:rFonts w:hint="default" w:ascii="Times New Roman" w:hAnsi="Times New Roman" w:cs="Times New Roman"/>
          <w:color w:val="000000" w:themeColor="text1"/>
          <w14:textFill>
            <w14:solidFill>
              <w14:schemeClr w14:val="tx1"/>
            </w14:solidFill>
          </w14:textFill>
        </w:rPr>
      </w:pPr>
    </w:p>
    <w:p>
      <w:pPr>
        <w:keepNext w:val="0"/>
        <w:keepLines w:val="0"/>
        <w:pageBreakBefore w:val="0"/>
        <w:widowControl/>
        <w:kinsoku/>
        <w:wordWrap/>
        <w:overflowPunct/>
        <w:topLinePunct w:val="0"/>
        <w:bidi w:val="0"/>
        <w:adjustRightInd/>
        <w:snapToGrid/>
        <w:spacing w:line="240" w:lineRule="auto"/>
        <w:ind w:firstLine="420" w:firstLineChars="200"/>
        <w:textAlignment w:val="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spacing w:line="36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spacing w:line="360" w:lineRule="auto"/>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spacing w:line="360" w:lineRule="auto"/>
        <w:ind w:left="140"/>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widowControl/>
        <w:rPr>
          <w:rFonts w:hint="default" w:ascii="Times New Roman" w:hAnsi="Times New Roman" w:eastAsia="宋体" w:cs="Times New Roman"/>
          <w:color w:val="000000" w:themeColor="text1"/>
          <w:sz w:val="21"/>
          <w:szCs w:val="21"/>
          <w:lang w:val="en-US" w:eastAsia="zh-CN"/>
          <w14:textFill>
            <w14:solidFill>
              <w14:schemeClr w14:val="tx1"/>
            </w14:solidFill>
          </w14:textFill>
        </w:rPr>
      </w:pPr>
    </w:p>
    <w:p>
      <w:pPr>
        <w:spacing w:line="580" w:lineRule="exact"/>
        <w:jc w:val="left"/>
        <w:rPr>
          <w:rFonts w:hint="eastAsia" w:ascii="方正黑体_GBK" w:hAnsi="方正黑体_GBK" w:eastAsia="方正黑体_GBK" w:cs="方正黑体_GBK"/>
          <w:b w:val="0"/>
          <w:bCs w:val="0"/>
          <w:color w:val="000000" w:themeColor="text1"/>
          <w:sz w:val="32"/>
          <w:szCs w:val="32"/>
          <w:lang w:val="en-US" w:eastAsia="zh-CN"/>
          <w14:textFill>
            <w14:solidFill>
              <w14:schemeClr w14:val="tx1"/>
            </w14:solidFill>
          </w14:textFill>
        </w:rPr>
      </w:pP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center"/>
        <w:textAlignment w:val="auto"/>
        <w:rPr>
          <w:rFonts w:hint="eastAsia" w:ascii="方正仿宋_GB2312" w:hAnsi="方正仿宋_GB2312" w:eastAsia="方正仿宋_GB2312" w:cs="方正仿宋_GB2312"/>
          <w:color w:val="000000" w:themeColor="text1"/>
          <w:kern w:val="0"/>
          <w:sz w:val="32"/>
          <w:szCs w:val="32"/>
          <w:lang w:val="en-US" w:eastAsia="zh-CN" w:bidi="ar"/>
          <w14:textFill>
            <w14:solidFill>
              <w14:schemeClr w14:val="tx1"/>
            </w14:solidFill>
          </w14:textFill>
        </w:rPr>
      </w:pP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center"/>
        <w:textAlignment w:val="auto"/>
        <w:rPr>
          <w:rFonts w:hint="eastAsia" w:ascii="方正仿宋_GB2312" w:hAnsi="方正仿宋_GB2312" w:eastAsia="方正仿宋_GB2312" w:cs="方正仿宋_GB2312"/>
          <w:color w:val="000000" w:themeColor="text1"/>
          <w:kern w:val="0"/>
          <w:sz w:val="32"/>
          <w:szCs w:val="32"/>
          <w:lang w:val="en-US" w:eastAsia="zh-CN" w:bidi="ar"/>
          <w14:textFill>
            <w14:solidFill>
              <w14:schemeClr w14:val="tx1"/>
            </w14:solidFill>
          </w14:textFill>
        </w:rPr>
      </w:pPr>
    </w:p>
    <w:p>
      <w:pPr>
        <w:keepNext w:val="0"/>
        <w:keepLines w:val="0"/>
        <w:pageBreakBefore w:val="0"/>
        <w:widowControl/>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line="560" w:lineRule="exact"/>
        <w:ind w:firstLine="640" w:firstLineChars="200"/>
        <w:jc w:val="center"/>
        <w:textAlignment w:val="auto"/>
        <w:rPr>
          <w:rFonts w:hint="eastAsia" w:ascii="方正仿宋_GB2312" w:hAnsi="方正仿宋_GB2312" w:eastAsia="方正仿宋_GB2312" w:cs="方正仿宋_GB2312"/>
          <w:color w:val="000000" w:themeColor="text1"/>
          <w:kern w:val="0"/>
          <w:sz w:val="32"/>
          <w:szCs w:val="32"/>
          <w:lang w:val="en-US" w:eastAsia="zh-CN" w:bidi="ar"/>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楷体-GB2312">
    <w:panose1 w:val="02000500000000000000"/>
    <w:charset w:val="86"/>
    <w:family w:val="auto"/>
    <w:pitch w:val="default"/>
    <w:sig w:usb0="800002BF" w:usb1="184F6CF8" w:usb2="00000012" w:usb3="00000000" w:csb0="0004000F"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华文仿宋">
    <w:altName w:val="方正仿宋_GBK"/>
    <w:panose1 w:val="02010600040101010101"/>
    <w:charset w:val="86"/>
    <w:family w:val="auto"/>
    <w:pitch w:val="default"/>
    <w:sig w:usb0="00000000" w:usb1="00000000" w:usb2="00000000" w:usb3="00000000" w:csb0="0004009F" w:csb1="DFD70000"/>
  </w:font>
  <w:font w:name="方正仿宋_GBK">
    <w:panose1 w:val="02000000000000000000"/>
    <w:charset w:val="86"/>
    <w:family w:val="auto"/>
    <w:pitch w:val="default"/>
    <w:sig w:usb0="00000001" w:usb1="08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GWZT-EN">
    <w:panose1 w:val="02020400000000000000"/>
    <w:charset w:val="86"/>
    <w:family w:val="auto"/>
    <w:pitch w:val="default"/>
    <w:sig w:usb0="A00002BF" w:usb1="38CF7CFA" w:usb2="00082016" w:usb3="00000000" w:csb0="00040001" w:csb1="00000000"/>
  </w:font>
  <w:font w:name="Arial">
    <w:altName w:val="DejaVu Sans"/>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lang w:val="en-US" w:eastAsia="zh-CN" w:bidi="ar-SA"/>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4" name="文本框 1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5875"/>
                          </w:sdtPr>
                          <w:sdtContent>
                            <w:sdt>
                              <w:sdtPr>
                                <w:id w:val="147482348"/>
                              </w:sdtPr>
                              <w:sdtContent>
                                <w:p>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53</w:t>
                                  </w:r>
                                  <w:r>
                                    <w:rPr>
                                      <w:b/>
                                      <w:bCs/>
                                      <w:sz w:val="24"/>
                                      <w:szCs w:val="24"/>
                                    </w:rPr>
                                    <w:fldChar w:fldCharType="end"/>
                                  </w:r>
                                </w:p>
                              </w:sdtContent>
                            </w:sdt>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li/iLQIAAFk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SnTC1RUlmimU/PT92+nHr9PPryQeQqLW+hkiHyxiQ/fWdAgfzj0OI/Oucip+wYnA&#10;D4GPF4FFFwiPl6aT6TSHi8M3bICfPV63zod3wigSjYI6VDAJyw4bH/rQISRm02bdSJmqKDVpC3r9&#10;+k2eLlw8AJcaOSKJ/rHRCt22OzPbmvIIYs703eEtXzdIvmE+3DOHdsCDMTDhDkslDZKYs0VJbdyX&#10;f53HeFQJXkpatFdBNaaJEvleo3oADIPhBmM7GHqvbg36dYxBtDyZuOCCHMzKGfUZU7SMOeBimiNT&#10;QcNg3oa+xTGFXCyXKQj9ZlnY6AfLI3QUz9vlPkDApGsUpVfirBU6LlXmPB2xpf/cp6jHP8L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BYA&#10;AABkcnMvUEsBAhQAFAAAAAgAh07iQLNJWO7QAAAABQEAAA8AAAAAAAAAAQAgAAAAOAAAAGRycy9k&#10;b3ducmV2LnhtbFBLAQIUABQAAAAIAIdO4kCIli/iLQIAAFkEAAAOAAAAAAAAAAEAIAAAADUBAABk&#10;cnMvZTJvRG9jLnhtbFBLBQYAAAAABgAGAFkBAADUBQAAAAA=&#10;">
              <v:fill on="f" focussize="0,0"/>
              <v:stroke on="f" weight="0.5pt"/>
              <v:imagedata o:title=""/>
              <o:lock v:ext="edit" aspectratio="f"/>
              <v:textbox inset="0mm,0mm,0mm,0mm" style="mso-fit-shape-to-text:t;">
                <w:txbxContent>
                  <w:sdt>
                    <w:sdtPr>
                      <w:id w:val="147475875"/>
                    </w:sdtPr>
                    <w:sdtContent>
                      <w:sdt>
                        <w:sdtPr>
                          <w:id w:val="147482348"/>
                        </w:sdtPr>
                        <w:sdtContent>
                          <w:p>
                            <w:pPr>
                              <w:pStyle w:val="4"/>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53</w:t>
                            </w:r>
                            <w:r>
                              <w:rPr>
                                <w:b/>
                                <w:bCs/>
                                <w:sz w:val="24"/>
                                <w:szCs w:val="24"/>
                              </w:rPr>
                              <w:fldChar w:fldCharType="end"/>
                            </w:r>
                          </w:p>
                        </w:sdtContent>
                      </w:sdt>
                    </w:sdtContent>
                  </w:sdt>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4"/>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irTFMgIAAGQEAAAOAAAAZHJz&#10;L2Uyb0RvYy54bWytVM2O0zAQviPxDpbvNG1XrKqq6apsVYRUsSstiLPrOE0k/8l2m5QHgDfgxIU7&#10;z9Xn2M9O0kULhz1wScee8TfzfTPTxU2rJDkK52ujczoZjSkRmpui1vucfv60eTOjxAemCyaNFjk9&#10;CU9vlq9fLRo7F1NTGVkIRwCi/byxOa1CsPMs87wSivmRsULDWRqnWMDR7bPCsQboSmbT8fg6a4wr&#10;rDNceI/bdeekPaJ7CaApy5qLteEHJXToUJ2QLICSr2rr6TJVW5aCh7uy9CIQmVMwDemLJLB38Zst&#10;F2y+d8xWNe9LYC8p4RknxWqNpBeoNQuMHFz9F5SquTPelGHEjco6IkkRsJiMn2nzUDErEhdI7e1F&#10;dP//YPnH470jdYFJuKJEM4WOn398P//8ff71jUyiPo31c4Q9WASG9p1pETvce1xG2m3pVPwFIQI/&#10;1D1d1BVtIDw+mk1nszFcHL7hAPzs6bl1PrwXRpFo5NShfUlVdtz60IUOITGbNptaytRCqUmT0+ur&#10;t+P04OIBuNQxVqRh6GEipa70aIV21/Y8d6Y4gaYz3aB4yzc1StkyH+6Zw2SgfOxOuMOnlAYpTW9R&#10;Uhn39V/3MR4Ng5eSBpOWU43FokR+0GgkAMNguMHYDYY+qFuD0Z1gJy1PJh64IAezdEZ9wUKtYg64&#10;mObIlNMwmLehm3YsJBerVQrC6FkWtvrB8ggd5fF2dQiQM6kcRemUQHfiAcOX+tQvSpzuP88p6unP&#10;YfkI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6KtMUyAgAAZAQAAA4AAAAAAAAAAQAgAAAA&#10;NQEAAGRycy9lMm9Eb2MueG1sUEsFBgAAAAAGAAYAWQEAANkFA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51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1D1BD7"/>
    <w:multiLevelType w:val="singleLevel"/>
    <w:tmpl w:val="941D1BD7"/>
    <w:lvl w:ilvl="0" w:tentative="0">
      <w:start w:val="1"/>
      <w:numFmt w:val="chineseCounting"/>
      <w:suff w:val="nothing"/>
      <w:lvlText w:val="%1、"/>
      <w:lvlJc w:val="left"/>
      <w:rPr>
        <w:rFonts w:hint="eastAsia"/>
      </w:rPr>
    </w:lvl>
  </w:abstractNum>
  <w:abstractNum w:abstractNumId="1">
    <w:nsid w:val="9DFD9B28"/>
    <w:multiLevelType w:val="multilevel"/>
    <w:tmpl w:val="9DFD9B28"/>
    <w:lvl w:ilvl="0" w:tentative="0">
      <w:start w:val="1"/>
      <w:numFmt w:val="decimal"/>
      <w:suff w:val="space"/>
      <w:lvlText w:val="%1."/>
      <w:lvlJc w:val="left"/>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FCDCDB3E"/>
    <w:multiLevelType w:val="singleLevel"/>
    <w:tmpl w:val="FCDCDB3E"/>
    <w:lvl w:ilvl="0" w:tentative="0">
      <w:start w:val="1"/>
      <w:numFmt w:val="chineseCounting"/>
      <w:suff w:val="nothing"/>
      <w:lvlText w:val="（%1）"/>
      <w:lvlJc w:val="left"/>
      <w:rPr>
        <w:rFonts w:hint="eastAsia"/>
      </w:rPr>
    </w:lvl>
  </w:abstractNum>
  <w:abstractNum w:abstractNumId="3">
    <w:nsid w:val="4D0B3A8E"/>
    <w:multiLevelType w:val="singleLevel"/>
    <w:tmpl w:val="4D0B3A8E"/>
    <w:lvl w:ilvl="0" w:tentative="0">
      <w:start w:val="2"/>
      <w:numFmt w:val="chineseCounting"/>
      <w:suff w:val="nothing"/>
      <w:lvlText w:val="%1、"/>
      <w:lvlJc w:val="left"/>
      <w:pPr>
        <w:ind w:left="700" w:firstLine="0"/>
      </w:pPr>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B33058"/>
    <w:rsid w:val="1F4A11C2"/>
    <w:rsid w:val="2522728B"/>
    <w:rsid w:val="2F1F7D8F"/>
    <w:rsid w:val="3BCF0BA9"/>
    <w:rsid w:val="3DE25765"/>
    <w:rsid w:val="46E06D54"/>
    <w:rsid w:val="4FB33058"/>
    <w:rsid w:val="5DAB62B4"/>
    <w:rsid w:val="5DFF845C"/>
    <w:rsid w:val="5FFE062B"/>
    <w:rsid w:val="64403609"/>
    <w:rsid w:val="6BBFEADC"/>
    <w:rsid w:val="72DD4197"/>
    <w:rsid w:val="77F4D3D9"/>
    <w:rsid w:val="7E71F060"/>
    <w:rsid w:val="7FF98455"/>
    <w:rsid w:val="BFBF8C09"/>
    <w:rsid w:val="CFCBCFCC"/>
    <w:rsid w:val="D7BE2DC0"/>
    <w:rsid w:val="DAD95192"/>
    <w:rsid w:val="EB9B8531"/>
    <w:rsid w:val="EDEED2C9"/>
    <w:rsid w:val="EE53A35A"/>
    <w:rsid w:val="EF8F6096"/>
    <w:rsid w:val="EFFB5D2C"/>
    <w:rsid w:val="F3FD0E2C"/>
    <w:rsid w:val="F3FF51BA"/>
    <w:rsid w:val="F5FBB1F7"/>
    <w:rsid w:val="F7DFD2C7"/>
    <w:rsid w:val="F7FF34D6"/>
    <w:rsid w:val="FAFDF1FF"/>
    <w:rsid w:val="FB76373C"/>
    <w:rsid w:val="FBFFBAF9"/>
    <w:rsid w:val="FDF1D8A8"/>
    <w:rsid w:val="FEB7BABE"/>
    <w:rsid w:val="FEFED755"/>
    <w:rsid w:val="FEFF2B37"/>
    <w:rsid w:val="FFFF0A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unhideWhenUsed/>
    <w:qFormat/>
    <w:uiPriority w:val="9"/>
    <w:pPr>
      <w:keepNext/>
      <w:keepLines/>
      <w:spacing w:before="260" w:after="260" w:line="416" w:lineRule="auto"/>
      <w:outlineLvl w:val="1"/>
    </w:pPr>
    <w:rPr>
      <w:rFonts w:eastAsia="黑体" w:asciiTheme="majorHAnsi" w:hAnsiTheme="majorHAnsi" w:cstheme="majorBidi"/>
      <w:b/>
      <w:bCs/>
      <w:sz w:val="21"/>
      <w:szCs w:val="32"/>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footer"/>
    <w:basedOn w:val="1"/>
    <w:unhideWhenUsed/>
    <w:qFormat/>
    <w:uiPriority w:val="0"/>
    <w:pPr>
      <w:tabs>
        <w:tab w:val="center" w:pos="4153"/>
        <w:tab w:val="right" w:pos="8306"/>
      </w:tabs>
      <w:snapToGrid w:val="0"/>
    </w:pPr>
    <w:rPr>
      <w:sz w:val="18"/>
      <w:szCs w:val="18"/>
    </w:rPr>
  </w:style>
  <w:style w:type="paragraph" w:styleId="5">
    <w:name w:val="toc 1"/>
    <w:basedOn w:val="1"/>
    <w:next w:val="1"/>
    <w:unhideWhenUsed/>
    <w:qFormat/>
    <w:uiPriority w:val="39"/>
    <w:pPr>
      <w:tabs>
        <w:tab w:val="right" w:leader="dot" w:pos="8296"/>
      </w:tabs>
    </w:pPr>
    <w:rPr>
      <w:rFonts w:eastAsia="宋体"/>
      <w:sz w:val="21"/>
    </w:rPr>
  </w:style>
  <w:style w:type="paragraph" w:styleId="6">
    <w:name w:val="toc 2"/>
    <w:basedOn w:val="1"/>
    <w:next w:val="1"/>
    <w:unhideWhenUsed/>
    <w:qFormat/>
    <w:uiPriority w:val="39"/>
    <w:pPr>
      <w:ind w:left="420" w:leftChars="200"/>
    </w:pPr>
    <w:rPr>
      <w:rFonts w:eastAsia="宋体"/>
      <w:sz w:val="21"/>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正文文本 (2)"/>
    <w:basedOn w:val="1"/>
    <w:qFormat/>
    <w:uiPriority w:val="0"/>
    <w:pPr>
      <w:shd w:val="clear" w:color="auto" w:fill="FFFFFF"/>
      <w:spacing w:before="480" w:line="307" w:lineRule="exact"/>
      <w:jc w:val="distribute"/>
    </w:pPr>
    <w:rPr>
      <w:rFonts w:ascii="黑体" w:hAnsi="黑体" w:eastAsia="黑体" w:cs="黑体"/>
      <w:color w:val="auto"/>
      <w:kern w:val="2"/>
      <w:sz w:val="22"/>
      <w:szCs w:val="22"/>
      <w:lang w:val="en-US" w:eastAsia="zh-CN" w:bidi="ar-SA"/>
    </w:rPr>
  </w:style>
  <w:style w:type="paragraph" w:customStyle="1" w:styleId="12">
    <w:name w:val="段"/>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81</Pages>
  <Words>17898</Words>
  <Characters>18468</Characters>
  <Lines>0</Lines>
  <Paragraphs>0</Paragraphs>
  <TotalTime>2</TotalTime>
  <ScaleCrop>false</ScaleCrop>
  <LinksUpToDate>false</LinksUpToDate>
  <CharactersWithSpaces>18701</CharactersWithSpaces>
  <Application>WPS Office_11.8.2.12024_F1E327BC-269C-435d-A152-05C5408002CA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2026-05-23T18:24:00Z</dcterms:created>
  <dc:creator>何宗友</dc:creator>
  <cp:lastModifiedBy>OWEN</cp:lastModifiedBy>
  <dcterms:modified xsi:type="dcterms:W3CDTF">2026-06-09T14:23:02Z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2052-11.8.2.12024</vt:lpwstr>
  </property>
  <property fmtid="{D5CDD505-2E9C-101B-9397-08002B2CF9AE}" pid="3" name="ICV">
    <vt:lpwstr>CCB6D48793D1099724251D6ABDD36182</vt:lpwstr>
  </property>
  <property fmtid="{D5CDD505-2E9C-101B-9397-08002B2CF9AE}" pid="4" name="KSOTemplateDocerSaveRecord">
    <vt:lpwstr>eyJoZGlkIjoiMDJmNWE3ZDg1OTM0YzU3OTExYjQ2ODI4ODkyOTEwZDUiLCJ1c2VySWQiOiIxNDQ2Mzg2ODEzIn0=</vt:lpwstr>
  </property>
</Properties>
</file>